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F8178" w14:textId="31BAA728" w:rsidR="00013129" w:rsidRPr="002052B6" w:rsidRDefault="006F52B1" w:rsidP="00013129">
      <w:pPr>
        <w:jc w:val="center"/>
        <w:rPr>
          <w:i/>
          <w:iCs/>
        </w:rPr>
      </w:pPr>
      <w:r>
        <w:rPr>
          <w:i/>
          <w:iCs/>
          <w:noProof/>
        </w:rPr>
        <w:drawing>
          <wp:inline distT="0" distB="0" distL="0" distR="0" wp14:anchorId="2F5CB04B" wp14:editId="332BAA08">
            <wp:extent cx="5760085" cy="1826124"/>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6">
                      <a:extLst>
                        <a:ext uri="{28A0092B-C50C-407E-A947-70E740481C1C}">
                          <a14:useLocalDpi xmlns:a14="http://schemas.microsoft.com/office/drawing/2010/main" val="0"/>
                        </a:ext>
                      </a:extLst>
                    </a:blip>
                    <a:stretch>
                      <a:fillRect/>
                    </a:stretch>
                  </pic:blipFill>
                  <pic:spPr>
                    <a:xfrm>
                      <a:off x="0" y="0"/>
                      <a:ext cx="5794624" cy="1837074"/>
                    </a:xfrm>
                    <a:prstGeom prst="rect">
                      <a:avLst/>
                    </a:prstGeom>
                  </pic:spPr>
                </pic:pic>
              </a:graphicData>
            </a:graphic>
          </wp:inline>
        </w:drawing>
      </w:r>
      <w:r w:rsidR="00013129" w:rsidRPr="002052B6">
        <w:rPr>
          <w:i/>
          <w:iCs/>
        </w:rPr>
        <w:t xml:space="preserve">Verslag van de </w:t>
      </w:r>
      <w:r w:rsidR="00013129">
        <w:rPr>
          <w:i/>
          <w:iCs/>
        </w:rPr>
        <w:t xml:space="preserve">derde </w:t>
      </w:r>
      <w:r w:rsidR="00013129" w:rsidRPr="002052B6">
        <w:rPr>
          <w:i/>
          <w:iCs/>
        </w:rPr>
        <w:t>Gebruikersmiddag Waterwijzer Landbouw, op don</w:t>
      </w:r>
      <w:r w:rsidR="00013129">
        <w:rPr>
          <w:i/>
          <w:iCs/>
        </w:rPr>
        <w:t>d</w:t>
      </w:r>
      <w:r w:rsidR="00013129" w:rsidRPr="002052B6">
        <w:rPr>
          <w:i/>
          <w:iCs/>
        </w:rPr>
        <w:t xml:space="preserve">erdag </w:t>
      </w:r>
      <w:r w:rsidR="00013129">
        <w:rPr>
          <w:i/>
          <w:iCs/>
        </w:rPr>
        <w:t>2</w:t>
      </w:r>
      <w:r w:rsidR="00580143">
        <w:rPr>
          <w:i/>
          <w:iCs/>
        </w:rPr>
        <w:t>2</w:t>
      </w:r>
      <w:r w:rsidR="00013129">
        <w:rPr>
          <w:i/>
          <w:iCs/>
        </w:rPr>
        <w:t xml:space="preserve"> april 2021 </w:t>
      </w:r>
    </w:p>
    <w:p w14:paraId="4296C10B" w14:textId="77777777" w:rsidR="00013129" w:rsidRDefault="00013129" w:rsidP="00013129"/>
    <w:p w14:paraId="2C78A4EE" w14:textId="4AADF3BE" w:rsidR="00013129" w:rsidRPr="001A442C" w:rsidRDefault="001A442C" w:rsidP="00013129">
      <w:pPr>
        <w:rPr>
          <w:b/>
          <w:bCs/>
        </w:rPr>
      </w:pPr>
      <w:r w:rsidRPr="001A442C">
        <w:rPr>
          <w:b/>
          <w:bCs/>
        </w:rPr>
        <w:t>Validatie Waterwijzer Landbouw hoog op wensenlijst gebruikers</w:t>
      </w:r>
    </w:p>
    <w:p w14:paraId="3D1A9ED4" w14:textId="77777777" w:rsidR="001A442C" w:rsidRDefault="001A442C" w:rsidP="00013129"/>
    <w:p w14:paraId="2B5C0173" w14:textId="236F7312" w:rsidR="00013129" w:rsidRDefault="00013129" w:rsidP="00013129">
      <w:pPr>
        <w:rPr>
          <w:b/>
          <w:bCs/>
        </w:rPr>
      </w:pPr>
      <w:r w:rsidRPr="00FA556A">
        <w:rPr>
          <w:b/>
          <w:bCs/>
        </w:rPr>
        <w:t>Op donderdag</w:t>
      </w:r>
      <w:r>
        <w:rPr>
          <w:b/>
          <w:bCs/>
        </w:rPr>
        <w:t>middag 2</w:t>
      </w:r>
      <w:r w:rsidR="00580143">
        <w:rPr>
          <w:b/>
          <w:bCs/>
        </w:rPr>
        <w:t>2</w:t>
      </w:r>
      <w:r>
        <w:rPr>
          <w:b/>
          <w:bCs/>
        </w:rPr>
        <w:t xml:space="preserve"> april vond </w:t>
      </w:r>
      <w:r w:rsidRPr="00FA556A">
        <w:rPr>
          <w:b/>
          <w:bCs/>
        </w:rPr>
        <w:t xml:space="preserve">de </w:t>
      </w:r>
      <w:r>
        <w:rPr>
          <w:b/>
          <w:bCs/>
        </w:rPr>
        <w:t xml:space="preserve">derde </w:t>
      </w:r>
      <w:r w:rsidRPr="00FA556A">
        <w:rPr>
          <w:b/>
          <w:bCs/>
        </w:rPr>
        <w:t>gebruikersmidag plaats van de Waterwijzer La</w:t>
      </w:r>
      <w:r w:rsidR="008058EA">
        <w:rPr>
          <w:b/>
          <w:bCs/>
        </w:rPr>
        <w:t>n</w:t>
      </w:r>
      <w:r w:rsidRPr="00FA556A">
        <w:rPr>
          <w:b/>
          <w:bCs/>
        </w:rPr>
        <w:t>dbouw</w:t>
      </w:r>
      <w:r w:rsidR="002C1CAF">
        <w:rPr>
          <w:b/>
          <w:bCs/>
        </w:rPr>
        <w:t xml:space="preserve"> (WWL)</w:t>
      </w:r>
      <w:r w:rsidRPr="00FA556A">
        <w:rPr>
          <w:b/>
          <w:bCs/>
        </w:rPr>
        <w:t xml:space="preserve">, een instrument dat een inschatting geeft van de effecten van te natte, te droge of te zoute hydrologische omstandigheden op gewasopbrengsten. Aan de orde kwamen de ervaringen </w:t>
      </w:r>
      <w:r>
        <w:rPr>
          <w:b/>
          <w:bCs/>
        </w:rPr>
        <w:t xml:space="preserve">die </w:t>
      </w:r>
      <w:r w:rsidR="002C1CAF">
        <w:rPr>
          <w:b/>
          <w:bCs/>
        </w:rPr>
        <w:t>-</w:t>
      </w:r>
      <w:r>
        <w:rPr>
          <w:b/>
          <w:bCs/>
        </w:rPr>
        <w:t xml:space="preserve"> onder meer bij het vaststellen van peilbesluiten - </w:t>
      </w:r>
      <w:r w:rsidRPr="00FA556A">
        <w:rPr>
          <w:b/>
          <w:bCs/>
        </w:rPr>
        <w:t xml:space="preserve">met het instrument zijn opgedaan en </w:t>
      </w:r>
      <w:r>
        <w:rPr>
          <w:b/>
          <w:bCs/>
        </w:rPr>
        <w:t xml:space="preserve">de </w:t>
      </w:r>
      <w:r w:rsidRPr="00FA556A">
        <w:rPr>
          <w:b/>
          <w:bCs/>
        </w:rPr>
        <w:t xml:space="preserve">verbeteringen die </w:t>
      </w:r>
      <w:r>
        <w:rPr>
          <w:b/>
          <w:bCs/>
        </w:rPr>
        <w:t xml:space="preserve">sinds de </w:t>
      </w:r>
      <w:r w:rsidR="00580143">
        <w:rPr>
          <w:b/>
          <w:bCs/>
        </w:rPr>
        <w:t xml:space="preserve">vorige gebruikersdag </w:t>
      </w:r>
      <w:r w:rsidRPr="00FA556A">
        <w:rPr>
          <w:b/>
          <w:bCs/>
        </w:rPr>
        <w:t>zijn doorgevoerd</w:t>
      </w:r>
      <w:r>
        <w:rPr>
          <w:b/>
          <w:bCs/>
        </w:rPr>
        <w:t>, of op korte termijn gaan plaatsvinden. Ook was er veel aandacht voor de validatie van het instrument.</w:t>
      </w:r>
    </w:p>
    <w:p w14:paraId="0C8848B0" w14:textId="63594321" w:rsidR="00013129" w:rsidRDefault="00013129" w:rsidP="00013129">
      <w:pPr>
        <w:rPr>
          <w:b/>
          <w:bCs/>
        </w:rPr>
      </w:pPr>
    </w:p>
    <w:p w14:paraId="37476F44" w14:textId="5F5FAFB4" w:rsidR="00F6759A" w:rsidRDefault="00580143" w:rsidP="00013129">
      <w:r>
        <w:t>STOWA-d</w:t>
      </w:r>
      <w:r w:rsidR="00013129">
        <w:t xml:space="preserve">irecteur Joost Buntsma heette de meer dan </w:t>
      </w:r>
      <w:r w:rsidR="000F67F8">
        <w:t>6</w:t>
      </w:r>
      <w:r w:rsidR="00013129">
        <w:t xml:space="preserve">0 online deelnemers aan het begin van de middag van harte welkom. Hij noemde de </w:t>
      </w:r>
      <w:r w:rsidR="00F6759A">
        <w:t>WWL-</w:t>
      </w:r>
      <w:r w:rsidR="00013129">
        <w:t>gebruikersdagen essentieel voor de verder</w:t>
      </w:r>
      <w:r w:rsidR="00F6759A">
        <w:t>e</w:t>
      </w:r>
      <w:r w:rsidR="00013129">
        <w:t xml:space="preserve"> ontwikkeling van het instrument</w:t>
      </w:r>
      <w:r w:rsidR="00E163F9">
        <w:t xml:space="preserve">. </w:t>
      </w:r>
      <w:r w:rsidR="001B5F88">
        <w:t xml:space="preserve">De opgedane ervaringen en daaraan gekoppeld verbeterwensen van gebruikers zijn volgens hem </w:t>
      </w:r>
      <w:r>
        <w:t>van groot belang</w:t>
      </w:r>
      <w:r w:rsidR="001B5F88">
        <w:t xml:space="preserve"> voor een succesvolle doorontwikkeling van het instrument dat </w:t>
      </w:r>
      <w:r w:rsidR="000F67F8">
        <w:t>eind</w:t>
      </w:r>
      <w:r w:rsidR="001B5F88">
        <w:t xml:space="preserve"> 2018 werd vrijgegeven voor gebruik, als klimaatrobuust alternatief voor de tot dan</w:t>
      </w:r>
      <w:r>
        <w:t xml:space="preserve"> </w:t>
      </w:r>
      <w:r w:rsidR="001B5F88">
        <w:t>toe gehanteerde HELP- en daarvan afgeleide TCGB</w:t>
      </w:r>
      <w:r w:rsidR="008C0CBB">
        <w:t>-</w:t>
      </w:r>
      <w:r w:rsidR="001B5F88">
        <w:t xml:space="preserve">tabellen. </w:t>
      </w:r>
      <w:r w:rsidR="00013129">
        <w:t xml:space="preserve">Volgens Buntsma </w:t>
      </w:r>
      <w:r w:rsidR="00F6759A">
        <w:t xml:space="preserve">geloven de ontwikkelende partijen waaronder STOWA in het instrument en wordt de komende jaren </w:t>
      </w:r>
      <w:r w:rsidR="002C1CAF">
        <w:t xml:space="preserve">nog hard </w:t>
      </w:r>
      <w:r w:rsidR="00F6759A">
        <w:t xml:space="preserve">gewerkt aan verdere verbeteringen. </w:t>
      </w:r>
      <w:r w:rsidR="002C1CAF">
        <w:t>H</w:t>
      </w:r>
      <w:r w:rsidR="00F6759A">
        <w:t xml:space="preserve">ij benadrukte dat er </w:t>
      </w:r>
      <w:r w:rsidR="002C1CAF">
        <w:t xml:space="preserve">ook </w:t>
      </w:r>
      <w:r w:rsidR="00F6759A">
        <w:t xml:space="preserve">in de afgelopen periode al het nodige is verbeterd. </w:t>
      </w:r>
      <w:r w:rsidR="002D795C">
        <w:t>Daarover</w:t>
      </w:r>
      <w:r w:rsidR="00F6759A">
        <w:t xml:space="preserve"> later meer.</w:t>
      </w:r>
    </w:p>
    <w:p w14:paraId="4FC9946A" w14:textId="77777777" w:rsidR="00F6759A" w:rsidRDefault="00F6759A" w:rsidP="00013129"/>
    <w:p w14:paraId="4C262ACE" w14:textId="41295278" w:rsidR="002C1CAF" w:rsidRPr="002C1CAF" w:rsidRDefault="002C1CAF" w:rsidP="00F6759A">
      <w:pPr>
        <w:rPr>
          <w:b/>
          <w:bCs/>
        </w:rPr>
      </w:pPr>
      <w:r w:rsidRPr="002C1CAF">
        <w:rPr>
          <w:b/>
          <w:bCs/>
        </w:rPr>
        <w:t>Verdere verbeteringen</w:t>
      </w:r>
    </w:p>
    <w:p w14:paraId="212582B3" w14:textId="17D1C3D8" w:rsidR="002C1CAF" w:rsidRDefault="00F6759A" w:rsidP="00F6759A">
      <w:r>
        <w:t xml:space="preserve">Buntsma memoreerde </w:t>
      </w:r>
      <w:r w:rsidR="00BA60F2">
        <w:t xml:space="preserve">in zijn openingswoord </w:t>
      </w:r>
      <w:r>
        <w:t xml:space="preserve">een </w:t>
      </w:r>
      <w:r w:rsidR="00BA60F2">
        <w:t>p</w:t>
      </w:r>
      <w:r>
        <w:t>ersbericht van LTO in oktober vorig jaar. De landbouwbehartigers stelde</w:t>
      </w:r>
      <w:r w:rsidR="00580143">
        <w:t>n</w:t>
      </w:r>
      <w:r>
        <w:t xml:space="preserve"> daarin dat </w:t>
      </w:r>
      <w:r w:rsidR="001A1CD5">
        <w:t xml:space="preserve">de Waterwijzer Landbouw </w:t>
      </w:r>
      <w:r>
        <w:t>te vroeg is vrijgegeven voor gebruik</w:t>
      </w:r>
      <w:r w:rsidR="002C1CAF">
        <w:t>,</w:t>
      </w:r>
      <w:r>
        <w:t xml:space="preserve"> </w:t>
      </w:r>
      <w:r w:rsidRPr="00F6759A">
        <w:t xml:space="preserve">omdat de uitkomsten van de WWL volgens een </w:t>
      </w:r>
      <w:r>
        <w:t xml:space="preserve">uitgevoerde </w:t>
      </w:r>
      <w:r w:rsidRPr="00F6759A">
        <w:t xml:space="preserve">studie </w:t>
      </w:r>
      <w:r w:rsidR="001A1CD5">
        <w:t xml:space="preserve">in een aantal gevallen </w:t>
      </w:r>
      <w:r>
        <w:t>‘</w:t>
      </w:r>
      <w:r w:rsidRPr="00F6759A">
        <w:t>onverklaarbare verschillen</w:t>
      </w:r>
      <w:r>
        <w:t>’</w:t>
      </w:r>
      <w:r w:rsidRPr="00F6759A">
        <w:t xml:space="preserve"> lat</w:t>
      </w:r>
      <w:r w:rsidR="008F3C95">
        <w:t>en</w:t>
      </w:r>
      <w:r w:rsidRPr="00F6759A">
        <w:t xml:space="preserve"> zien met HELP</w:t>
      </w:r>
      <w:r>
        <w:t xml:space="preserve">-tabellen. Buntsma </w:t>
      </w:r>
      <w:r w:rsidR="002C1CAF">
        <w:t xml:space="preserve">gaf aan dat het instrument in 2018 </w:t>
      </w:r>
      <w:r w:rsidR="008C0CBB">
        <w:t xml:space="preserve">door alle betrokken partijen </w:t>
      </w:r>
      <w:r w:rsidR="002C1CAF">
        <w:t>is vrijgegeven</w:t>
      </w:r>
      <w:r w:rsidR="00580143">
        <w:t xml:space="preserve"> </w:t>
      </w:r>
      <w:r w:rsidR="002C1CAF">
        <w:t xml:space="preserve">in de wetenschap dat er nog verdere verbeteringen nodig waren, en de hoop en verwachting dat men ook veel waardevolle feedback uit de praktijk zou krijgen. Dat is ook gebeurd, onder meer via de gebruikersdagen. Hij </w:t>
      </w:r>
      <w:r>
        <w:t xml:space="preserve">benadrukte dat het ieder vrij staat het instrument wel of niet te gebruiken. </w:t>
      </w:r>
      <w:r w:rsidR="001A1CD5">
        <w:t xml:space="preserve">En dat de ontwikkelaars open en transparant communiceren over de verdere ontwikkeling en blijven zoeken naar verbeteringen waar </w:t>
      </w:r>
      <w:r w:rsidR="008C0CBB">
        <w:t>model</w:t>
      </w:r>
      <w:r w:rsidR="001A1CD5">
        <w:t xml:space="preserve">uitkomsten niet lijken te stroken met de </w:t>
      </w:r>
      <w:r w:rsidR="00580143">
        <w:t>waarnemingen</w:t>
      </w:r>
      <w:r w:rsidR="001A1CD5">
        <w:t xml:space="preserve">. </w:t>
      </w:r>
    </w:p>
    <w:p w14:paraId="10397395" w14:textId="77777777" w:rsidR="002C1CAF" w:rsidRDefault="002C1CAF" w:rsidP="00F6759A"/>
    <w:p w14:paraId="39DED0A7" w14:textId="77777777" w:rsidR="008F3C95" w:rsidRDefault="008F3C95" w:rsidP="00F6759A">
      <w:pPr>
        <w:rPr>
          <w:b/>
          <w:bCs/>
        </w:rPr>
      </w:pPr>
    </w:p>
    <w:p w14:paraId="63712568" w14:textId="6552F06F" w:rsidR="002C1CAF" w:rsidRPr="002C1CAF" w:rsidRDefault="002C1CAF" w:rsidP="00F6759A">
      <w:pPr>
        <w:rPr>
          <w:b/>
          <w:bCs/>
        </w:rPr>
      </w:pPr>
      <w:r w:rsidRPr="002C1CAF">
        <w:rPr>
          <w:b/>
          <w:bCs/>
        </w:rPr>
        <w:lastRenderedPageBreak/>
        <w:t>Unieke downloads</w:t>
      </w:r>
    </w:p>
    <w:p w14:paraId="042F7D17" w14:textId="02895371" w:rsidR="00BA60F2" w:rsidRDefault="002C1CAF" w:rsidP="00F6759A">
      <w:r>
        <w:t xml:space="preserve">Buntsma </w:t>
      </w:r>
      <w:r w:rsidR="001A1CD5">
        <w:t xml:space="preserve">gaf ook aan dat de </w:t>
      </w:r>
      <w:r w:rsidR="000F67F8">
        <w:t>Wetenschappelijke Adviescommissie van het NHI  gevraagd zal worden om een uitspraak te doen over</w:t>
      </w:r>
      <w:r w:rsidR="001A1CD5">
        <w:t xml:space="preserve"> de Waterwijzer </w:t>
      </w:r>
      <w:r w:rsidR="000F67F8">
        <w:t xml:space="preserve">Landbouw inzake </w:t>
      </w:r>
      <w:r w:rsidR="001A1CD5">
        <w:t xml:space="preserve">de validiteit, transparantie en consistentie van het ontwikkelde instrument. </w:t>
      </w:r>
      <w:r w:rsidR="00336B14">
        <w:t xml:space="preserve">Ook wil men weten of de binnen de Waterwijzer Landbouw gekozen aanpak voor het berekenen van droogte-, nat- en zoutschade de best mogelijke danwel </w:t>
      </w:r>
      <w:r w:rsidR="008C0CBB">
        <w:t xml:space="preserve">best </w:t>
      </w:r>
      <w:r w:rsidR="00336B14">
        <w:t xml:space="preserve">beschikbare methode is, of dat er (ook) alternatieven zijn. </w:t>
      </w:r>
      <w:r w:rsidR="001A1CD5">
        <w:t>D</w:t>
      </w:r>
      <w:r>
        <w:t xml:space="preserve">eze vraag heeft te maken met het feit dat </w:t>
      </w:r>
      <w:r w:rsidR="001A1CD5">
        <w:t xml:space="preserve">de Waterwijzer </w:t>
      </w:r>
      <w:r w:rsidR="00D51D5E">
        <w:t>Landbouw</w:t>
      </w:r>
      <w:r w:rsidR="001A1CD5">
        <w:t xml:space="preserve">  deel gaat uitmaken van het Nederlands Hydrologisch </w:t>
      </w:r>
      <w:r w:rsidR="000F67F8">
        <w:t>I</w:t>
      </w:r>
      <w:r w:rsidR="001A1CD5">
        <w:t>nstrumentarium</w:t>
      </w:r>
      <w:r w:rsidR="000F67F8">
        <w:t xml:space="preserve"> (NHI)</w:t>
      </w:r>
      <w:r w:rsidR="001A1CD5">
        <w:t>,</w:t>
      </w:r>
      <w:r w:rsidR="00D51D5E">
        <w:t xml:space="preserve"> </w:t>
      </w:r>
      <w:r w:rsidR="001A1CD5">
        <w:t xml:space="preserve">waarover de programmamanager </w:t>
      </w:r>
      <w:r w:rsidR="00D51D5E">
        <w:t>Jacques</w:t>
      </w:r>
      <w:r w:rsidR="001A1CD5">
        <w:t xml:space="preserve"> Peerboom aan het eind van de middag nog iets meer vertelde. Wat betreft het </w:t>
      </w:r>
      <w:r>
        <w:t xml:space="preserve">feitelijke </w:t>
      </w:r>
      <w:r w:rsidR="001A1CD5">
        <w:t>gebruik</w:t>
      </w:r>
      <w:r>
        <w:t>:</w:t>
      </w:r>
      <w:r w:rsidR="00D51D5E">
        <w:t xml:space="preserve"> </w:t>
      </w:r>
      <w:r>
        <w:t>v</w:t>
      </w:r>
      <w:r w:rsidR="00D51D5E">
        <w:t>olgens Joost Buntsma is</w:t>
      </w:r>
      <w:r w:rsidR="00BA60F2">
        <w:t xml:space="preserve"> het instrument </w:t>
      </w:r>
      <w:r w:rsidR="00D51D5E">
        <w:t xml:space="preserve">sinds de introductie </w:t>
      </w:r>
      <w:r w:rsidR="00BA60F2">
        <w:t xml:space="preserve">bijna 2 duizend keer gedownload, waarvan </w:t>
      </w:r>
      <w:r>
        <w:t xml:space="preserve">het in </w:t>
      </w:r>
      <w:r w:rsidR="00BA60F2">
        <w:t xml:space="preserve">1233 </w:t>
      </w:r>
      <w:r w:rsidR="008F3C95">
        <w:t>gevallen u</w:t>
      </w:r>
      <w:r w:rsidR="00BA60F2">
        <w:t>ni</w:t>
      </w:r>
      <w:r w:rsidR="00D51D5E">
        <w:t>e</w:t>
      </w:r>
      <w:r w:rsidR="00BA60F2">
        <w:t>ke downloads</w:t>
      </w:r>
      <w:r w:rsidR="008F3C95">
        <w:t xml:space="preserve"> betreft</w:t>
      </w:r>
      <w:r w:rsidR="00BA60F2">
        <w:t>.</w:t>
      </w:r>
    </w:p>
    <w:p w14:paraId="4F247A56" w14:textId="77777777" w:rsidR="00BA60F2" w:rsidRDefault="00BA60F2" w:rsidP="00F6759A"/>
    <w:p w14:paraId="485EDC08" w14:textId="4BCDBF7F" w:rsidR="00BA60F2" w:rsidRDefault="00336B14" w:rsidP="00F6759A">
      <w:r>
        <w:t>Uit enkele mentimetervragen die volgden na de introductie door Joost Buntsma, bleek dat de meeste aanwezigen werkzaam waren bij een waterschap (15), een adviesbureau (11) of een kennisinstituut</w:t>
      </w:r>
      <w:r w:rsidR="000F67F8">
        <w:t xml:space="preserve"> </w:t>
      </w:r>
      <w:r>
        <w:t xml:space="preserve">(6). </w:t>
      </w:r>
      <w:r w:rsidR="00D51D5E">
        <w:t xml:space="preserve">Er waren </w:t>
      </w:r>
      <w:r w:rsidR="00396142">
        <w:t>nauwelijks</w:t>
      </w:r>
      <w:r w:rsidR="00D51D5E">
        <w:t xml:space="preserve"> mensen aanwezig van Rijk en provincie, hetgeen Buntsma zorgen baarde: </w:t>
      </w:r>
      <w:r w:rsidR="002C1CAF">
        <w:t>“</w:t>
      </w:r>
      <w:r w:rsidR="00D51D5E">
        <w:t xml:space="preserve">In deze hebben wij nog een missie te vervullen.” Van alle aanwezigen </w:t>
      </w:r>
      <w:r>
        <w:t>had</w:t>
      </w:r>
      <w:r w:rsidR="000F67F8">
        <w:t xml:space="preserve"> </w:t>
      </w:r>
      <w:r w:rsidR="000904F8">
        <w:t>60</w:t>
      </w:r>
      <w:r w:rsidR="008C0CBB">
        <w:t xml:space="preserve"> procent</w:t>
      </w:r>
      <w:r w:rsidR="000904F8">
        <w:t xml:space="preserve"> </w:t>
      </w:r>
      <w:r w:rsidR="00D51D5E">
        <w:t xml:space="preserve">de WWL </w:t>
      </w:r>
      <w:r w:rsidR="00580143">
        <w:t>éé</w:t>
      </w:r>
      <w:r w:rsidR="00D51D5E">
        <w:t>n of meerdere keren gebruikt</w:t>
      </w:r>
      <w:r w:rsidR="002C1CAF">
        <w:t>.</w:t>
      </w:r>
      <w:r w:rsidR="00D51D5E">
        <w:t xml:space="preserve"> </w:t>
      </w:r>
    </w:p>
    <w:p w14:paraId="487F0AED" w14:textId="4CD31331" w:rsidR="00D51D5E" w:rsidRDefault="00D51D5E" w:rsidP="00F6759A"/>
    <w:p w14:paraId="3CBA6F01" w14:textId="24A94DDE" w:rsidR="002C1CAF" w:rsidRPr="002C1CAF" w:rsidRDefault="002C1CAF" w:rsidP="00F6759A">
      <w:pPr>
        <w:rPr>
          <w:b/>
          <w:bCs/>
        </w:rPr>
      </w:pPr>
      <w:r w:rsidRPr="002C1CAF">
        <w:rPr>
          <w:b/>
          <w:bCs/>
        </w:rPr>
        <w:t>WWL-producten</w:t>
      </w:r>
    </w:p>
    <w:p w14:paraId="7C1AC14D" w14:textId="2A5A3714" w:rsidR="004E6F45" w:rsidRDefault="00D51D5E" w:rsidP="00F6759A">
      <w:r>
        <w:t xml:space="preserve">Onderzoeker en WWL-ontwikkelaar Martin Mulder van </w:t>
      </w:r>
      <w:r w:rsidR="00336B14">
        <w:t>WE</w:t>
      </w:r>
      <w:r w:rsidR="00580143">
        <w:t>N</w:t>
      </w:r>
      <w:r w:rsidR="00336B14">
        <w:t>R ging</w:t>
      </w:r>
      <w:r>
        <w:t xml:space="preserve"> na deze introductie kort in op de binnen het instrument doorgevoerde verbeteringen en aanvullingen sinds de vorige gebruikersdag die plaatsvond in </w:t>
      </w:r>
      <w:r w:rsidR="00580143">
        <w:t>februari</w:t>
      </w:r>
      <w:r>
        <w:t xml:space="preserve"> 2020. </w:t>
      </w:r>
      <w:r w:rsidR="002C1CAF">
        <w:t xml:space="preserve">Mulder startte met een kort overzicht van de tot dusver opgeleverde producten. </w:t>
      </w:r>
      <w:r w:rsidR="004E6F45">
        <w:t>De WWL bestaat enerzijds uit een makkelijk toepasbare online tool (de WWL-tabel)</w:t>
      </w:r>
      <w:r w:rsidR="002C1CAF">
        <w:t>,</w:t>
      </w:r>
      <w:r w:rsidR="004E6F45">
        <w:t xml:space="preserve"> </w:t>
      </w:r>
      <w:r w:rsidR="001B5F88">
        <w:t>anderzijds</w:t>
      </w:r>
      <w:r w:rsidR="002C1CAF">
        <w:t xml:space="preserve"> </w:t>
      </w:r>
      <w:r w:rsidR="004E6F45">
        <w:t>uit maatwerktoepassing</w:t>
      </w:r>
      <w:r w:rsidR="00580143">
        <w:t>en, namelijk WWL-maatwerk voor een lokale berekening en WWL-regionaal</w:t>
      </w:r>
      <w:r w:rsidR="004E6F45">
        <w:t xml:space="preserve">. </w:t>
      </w:r>
      <w:r w:rsidR="00580143">
        <w:t>Maatwerk geeft op basis van lokale of regionale invoergegevens</w:t>
      </w:r>
      <w:r w:rsidR="004E6F45">
        <w:t xml:space="preserve"> meer gebiedsspecifieke resultaten, maar vraagt meer deskundigheid, kennis en inzicht van de gebruiker</w:t>
      </w:r>
      <w:r w:rsidR="00580143">
        <w:t>. WWL-regionaal kan bij een relatief groot gebied ook flink</w:t>
      </w:r>
      <w:r w:rsidR="004E6F45">
        <w:t xml:space="preserve"> rekentijd</w:t>
      </w:r>
      <w:r w:rsidR="00580143">
        <w:t xml:space="preserve"> vergen</w:t>
      </w:r>
      <w:r w:rsidR="004E6F45">
        <w:t xml:space="preserve">. WWL-regionaal is </w:t>
      </w:r>
      <w:r w:rsidR="00336B14">
        <w:t>binnen</w:t>
      </w:r>
      <w:r w:rsidR="004E6F45">
        <w:t xml:space="preserve"> het kennisprogramma Lumbricus (</w:t>
      </w:r>
      <w:hyperlink r:id="rId7" w:history="1">
        <w:r w:rsidR="004E6F45" w:rsidRPr="009B42FE">
          <w:rPr>
            <w:rStyle w:val="Hyperlink"/>
          </w:rPr>
          <w:t>www.stowa.nl/lumbricus</w:t>
        </w:r>
      </w:hyperlink>
      <w:r w:rsidR="004E6F45">
        <w:t xml:space="preserve">) toegepast in drie regionale pilots. De ontwikkelaars hebben in het rapport </w:t>
      </w:r>
      <w:hyperlink r:id="rId8" w:history="1">
        <w:r w:rsidR="004E6F45" w:rsidRPr="004E6F45">
          <w:rPr>
            <w:rStyle w:val="Hyperlink"/>
          </w:rPr>
          <w:t>Opties binnen WWL Landbouw in 2020</w:t>
        </w:r>
      </w:hyperlink>
      <w:r w:rsidR="004E6F45">
        <w:t xml:space="preserve"> </w:t>
      </w:r>
      <w:r w:rsidR="000904F8">
        <w:t xml:space="preserve">o.a. </w:t>
      </w:r>
      <w:r w:rsidR="004E6F45">
        <w:t xml:space="preserve">een tabel opgenomen over de </w:t>
      </w:r>
      <w:r w:rsidR="000904F8">
        <w:t>toepassings</w:t>
      </w:r>
      <w:r w:rsidR="004E6F45">
        <w:t>mogelijkheden van de drie producten.</w:t>
      </w:r>
      <w:r w:rsidR="000904F8">
        <w:t xml:space="preserve"> </w:t>
      </w:r>
      <w:r w:rsidR="00D539F4">
        <w:t xml:space="preserve">Deze tabel is bedoeld als hulpmiddel bij de vraag: </w:t>
      </w:r>
      <w:r w:rsidR="008C0CBB">
        <w:t>w</w:t>
      </w:r>
      <w:r w:rsidR="000904F8">
        <w:t>anneer pas je welk</w:t>
      </w:r>
      <w:r w:rsidR="008C0CBB">
        <w:t xml:space="preserve"> </w:t>
      </w:r>
      <w:r w:rsidR="000904F8">
        <w:t>WWL</w:t>
      </w:r>
      <w:r w:rsidR="008C0CBB">
        <w:t xml:space="preserve">-product </w:t>
      </w:r>
      <w:r w:rsidR="000904F8">
        <w:t>toe</w:t>
      </w:r>
      <w:r w:rsidR="00D539F4">
        <w:t>?</w:t>
      </w:r>
      <w:r w:rsidR="004E6F45">
        <w:t xml:space="preserve"> </w:t>
      </w:r>
      <w:r w:rsidR="004E6F45" w:rsidRPr="004E6F45">
        <w:t xml:space="preserve">In </w:t>
      </w:r>
      <w:r w:rsidR="004E6F45">
        <w:t xml:space="preserve">het </w:t>
      </w:r>
      <w:r w:rsidR="004E6F45" w:rsidRPr="004E6F45">
        <w:t xml:space="preserve">rapport beschrijven </w:t>
      </w:r>
      <w:r w:rsidR="004E6F45">
        <w:t xml:space="preserve">de opstellers </w:t>
      </w:r>
      <w:r w:rsidR="000904F8">
        <w:t xml:space="preserve">daarnaast </w:t>
      </w:r>
      <w:r w:rsidR="004E6F45" w:rsidRPr="004E6F45">
        <w:t>de verschillende onderdelen binnen Waterwijzer Landbouw (WWL) die in de loop van 2020 beschikbaar zijn gekomen. Dit betreft onder meer de vernieuwde WWL-metarelaties (versie 2.0.0) die naast de oudere versies kunnen worden gebruikt en vooral voor zandgronden realistischer resultaten opleveren, en voorbeeldtoepassingen met de maatwerktool WWL-regionaal.</w:t>
      </w:r>
    </w:p>
    <w:p w14:paraId="48B1BF99" w14:textId="77777777" w:rsidR="004E6F45" w:rsidRDefault="004E6F45" w:rsidP="00F6759A"/>
    <w:p w14:paraId="505779F2" w14:textId="52C5BE22" w:rsidR="006E6B33" w:rsidRPr="006E6B33" w:rsidRDefault="00D539F4" w:rsidP="00F6759A">
      <w:pPr>
        <w:rPr>
          <w:b/>
          <w:bCs/>
        </w:rPr>
      </w:pPr>
      <w:r>
        <w:rPr>
          <w:b/>
          <w:bCs/>
        </w:rPr>
        <w:t>Staringreeks</w:t>
      </w:r>
    </w:p>
    <w:p w14:paraId="5D165AE6" w14:textId="22B7C42D" w:rsidR="00033BEC" w:rsidRDefault="004E6F45" w:rsidP="00F6759A">
      <w:r>
        <w:t>Wat betreft de</w:t>
      </w:r>
      <w:r w:rsidR="006E6B33">
        <w:t>ze</w:t>
      </w:r>
      <w:r w:rsidR="0091346E">
        <w:t xml:space="preserve"> vernieuwde </w:t>
      </w:r>
      <w:r>
        <w:t>metarelaties:</w:t>
      </w:r>
      <w:r w:rsidR="002D795C">
        <w:t xml:space="preserve"> </w:t>
      </w:r>
      <w:r w:rsidR="008C0CBB">
        <w:t>d</w:t>
      </w:r>
      <w:r w:rsidR="0091346E">
        <w:t xml:space="preserve">eze konden worden afgeleid vanwege </w:t>
      </w:r>
      <w:r w:rsidR="002D795C">
        <w:t>een update van de zogenoemde Staringreeks</w:t>
      </w:r>
      <w:r w:rsidR="008C0CBB">
        <w:t>.</w:t>
      </w:r>
      <w:r w:rsidR="002D795C">
        <w:t xml:space="preserve"> </w:t>
      </w:r>
      <w:r w:rsidR="00D539F4">
        <w:t>De Staringreeks</w:t>
      </w:r>
      <w:r w:rsidR="002D795C">
        <w:t xml:space="preserve"> ge</w:t>
      </w:r>
      <w:r w:rsidR="000904F8">
        <w:t>eft</w:t>
      </w:r>
      <w:r w:rsidR="002D795C">
        <w:t xml:space="preserve"> de bodemfysische karakteristieken (waterretentie en doorlatendheid) van de aanwezige boven- en ondergronden</w:t>
      </w:r>
      <w:r w:rsidR="006E6B33">
        <w:t xml:space="preserve"> </w:t>
      </w:r>
      <w:r w:rsidR="002D795C">
        <w:t>weer. Dit bepaalt (deels) de waterbeschikbaarheid in de wortelzone</w:t>
      </w:r>
      <w:r w:rsidR="00033BEC">
        <w:t xml:space="preserve">. </w:t>
      </w:r>
      <w:r w:rsidR="0091346E">
        <w:t xml:space="preserve">Met de update </w:t>
      </w:r>
      <w:r w:rsidR="00033BEC">
        <w:t>lijkt d</w:t>
      </w:r>
      <w:r w:rsidR="002D795C">
        <w:t xml:space="preserve">e </w:t>
      </w:r>
      <w:r w:rsidR="008F3C95">
        <w:t xml:space="preserve">eerder </w:t>
      </w:r>
      <w:r w:rsidR="00336B14">
        <w:t>geconstateerde</w:t>
      </w:r>
      <w:r w:rsidR="00033BEC">
        <w:t xml:space="preserve"> </w:t>
      </w:r>
      <w:r w:rsidR="002D795C">
        <w:t xml:space="preserve">onderschatting van droogteschade op zandgronden </w:t>
      </w:r>
      <w:r w:rsidR="00033BEC">
        <w:t>opgelost. Want voor zandgronden levert dit veel plausibelere resultaten op, aldus Mulder</w:t>
      </w:r>
      <w:r w:rsidR="0091346E">
        <w:t xml:space="preserve">. Maar er is nog steeds sprake van een overschatting op bepaalde kleigronden. Om meer grip </w:t>
      </w:r>
      <w:r w:rsidR="0091346E">
        <w:lastRenderedPageBreak/>
        <w:t xml:space="preserve">te krijgen op dit probleem is bij </w:t>
      </w:r>
      <w:r w:rsidR="00B05EEE">
        <w:t>W</w:t>
      </w:r>
      <w:r w:rsidR="0091346E">
        <w:t xml:space="preserve">etterskip </w:t>
      </w:r>
      <w:r w:rsidR="00336B14">
        <w:t>Fryslân</w:t>
      </w:r>
      <w:r w:rsidR="0091346E">
        <w:t xml:space="preserve"> een studie uitgevoerd </w:t>
      </w:r>
      <w:r w:rsidR="006E6B33">
        <w:t xml:space="preserve">naar </w:t>
      </w:r>
      <w:r w:rsidR="0091346E">
        <w:t xml:space="preserve">de oorzaken van </w:t>
      </w:r>
      <w:r w:rsidR="00D539F4">
        <w:t xml:space="preserve">gesimuleerde </w:t>
      </w:r>
      <w:r w:rsidR="0091346E">
        <w:t xml:space="preserve">droogtestress op zware kleigronden, met als doel </w:t>
      </w:r>
      <w:r w:rsidR="00D539F4">
        <w:t xml:space="preserve">om te ontdekken hoe </w:t>
      </w:r>
      <w:r w:rsidR="008C0CBB">
        <w:t xml:space="preserve">de ontwikkelaars </w:t>
      </w:r>
      <w:r w:rsidR="00D539F4">
        <w:t>de berekeningen voor deze gronden i</w:t>
      </w:r>
      <w:r w:rsidR="0091346E">
        <w:t>n de WWL-producten</w:t>
      </w:r>
      <w:r w:rsidR="00D539F4">
        <w:t xml:space="preserve"> kunnen verbeteren</w:t>
      </w:r>
      <w:r w:rsidR="0091346E">
        <w:t>. Daarbij is onder meer gekeken naar de bodemfyische eigenschappen</w:t>
      </w:r>
      <w:r w:rsidR="00D539F4">
        <w:t xml:space="preserve"> en beworteling</w:t>
      </w:r>
      <w:r w:rsidR="0091346E">
        <w:t>. Conclusie: de interactie tussen</w:t>
      </w:r>
      <w:r w:rsidR="00606B0F">
        <w:t xml:space="preserve"> </w:t>
      </w:r>
      <w:r w:rsidR="00606B0F" w:rsidRPr="00606B0F">
        <w:t>bodem</w:t>
      </w:r>
      <w:r w:rsidR="00606B0F">
        <w:t xml:space="preserve"> en</w:t>
      </w:r>
      <w:r w:rsidR="00606B0F" w:rsidRPr="00606B0F">
        <w:t>-worteleigenschappen tijdens wateropname</w:t>
      </w:r>
      <w:r w:rsidR="0091346E">
        <w:t xml:space="preserve"> is heel belangrijk voor een goede modellering</w:t>
      </w:r>
      <w:r w:rsidR="00606B0F">
        <w:t>.</w:t>
      </w:r>
      <w:r w:rsidR="0091346E">
        <w:t xml:space="preserve"> D</w:t>
      </w:r>
      <w:r w:rsidR="00606B0F">
        <w:t>e bedoeling is om dat</w:t>
      </w:r>
      <w:r w:rsidR="0091346E">
        <w:t xml:space="preserve"> nader</w:t>
      </w:r>
      <w:r w:rsidR="00606B0F">
        <w:t xml:space="preserve"> te</w:t>
      </w:r>
      <w:r w:rsidR="0091346E">
        <w:t xml:space="preserve"> onderzo</w:t>
      </w:r>
      <w:r w:rsidR="00606B0F">
        <w:t>eken</w:t>
      </w:r>
      <w:r w:rsidR="006E6B33">
        <w:t>, aldus Mulder</w:t>
      </w:r>
      <w:r w:rsidR="0091346E">
        <w:t xml:space="preserve">.  </w:t>
      </w:r>
    </w:p>
    <w:p w14:paraId="1568850B" w14:textId="480B9EC7" w:rsidR="004E6F45" w:rsidRDefault="004E6F45" w:rsidP="00F6759A"/>
    <w:p w14:paraId="28008028" w14:textId="60B85A45" w:rsidR="00486FAB" w:rsidRDefault="00486FAB" w:rsidP="00D91D07">
      <w:pPr>
        <w:rPr>
          <w:rFonts w:cstheme="minorHAnsi"/>
          <w:b/>
          <w:bCs/>
        </w:rPr>
      </w:pPr>
      <w:r>
        <w:rPr>
          <w:rFonts w:cstheme="minorHAnsi"/>
          <w:b/>
          <w:bCs/>
        </w:rPr>
        <w:t>Peilbesluiten</w:t>
      </w:r>
    </w:p>
    <w:p w14:paraId="2E895B3C" w14:textId="58D9FE72" w:rsidR="006E6B33" w:rsidRPr="006E6B33" w:rsidRDefault="00B05EEE" w:rsidP="00D91D07">
      <w:pPr>
        <w:rPr>
          <w:rFonts w:cstheme="minorHAnsi"/>
          <w:b/>
          <w:bCs/>
        </w:rPr>
      </w:pPr>
      <w:r>
        <w:rPr>
          <w:rFonts w:cstheme="minorHAnsi"/>
        </w:rPr>
        <w:t>Na deze algemene inleiding van Martin Mulder</w:t>
      </w:r>
      <w:r w:rsidR="003D3465">
        <w:rPr>
          <w:rFonts w:cstheme="minorHAnsi"/>
        </w:rPr>
        <w:t xml:space="preserve"> stonden in twee </w:t>
      </w:r>
      <w:r w:rsidR="00336B14">
        <w:rPr>
          <w:rFonts w:cstheme="minorHAnsi"/>
        </w:rPr>
        <w:t>presentaties</w:t>
      </w:r>
      <w:r w:rsidR="003D3465">
        <w:rPr>
          <w:rFonts w:cstheme="minorHAnsi"/>
        </w:rPr>
        <w:t xml:space="preserve"> de ervaringen van </w:t>
      </w:r>
      <w:r w:rsidR="0052243E">
        <w:rPr>
          <w:rFonts w:cstheme="minorHAnsi"/>
        </w:rPr>
        <w:t>gebruikers</w:t>
      </w:r>
      <w:r w:rsidR="003D3465">
        <w:rPr>
          <w:rFonts w:cstheme="minorHAnsi"/>
        </w:rPr>
        <w:t xml:space="preserve"> met het instrument centraal. Ingrid van den Brink (Witteveen+Bos) en Judith van Tol (Waterschap</w:t>
      </w:r>
      <w:r w:rsidR="00C47835">
        <w:rPr>
          <w:rFonts w:cstheme="minorHAnsi"/>
        </w:rPr>
        <w:t xml:space="preserve"> </w:t>
      </w:r>
      <w:r w:rsidR="003D3465">
        <w:rPr>
          <w:rFonts w:cstheme="minorHAnsi"/>
        </w:rPr>
        <w:t>Rivierenland) deelden hun ervaringen met het toepassen van de WWL-t</w:t>
      </w:r>
      <w:r w:rsidR="00C47835">
        <w:rPr>
          <w:rFonts w:cstheme="minorHAnsi"/>
        </w:rPr>
        <w:t>a</w:t>
      </w:r>
      <w:r w:rsidR="003D3465">
        <w:rPr>
          <w:rFonts w:cstheme="minorHAnsi"/>
        </w:rPr>
        <w:t>bel bij het opstellen van nieuwe peilbesluiten</w:t>
      </w:r>
      <w:r w:rsidR="00C47835">
        <w:rPr>
          <w:rFonts w:cstheme="minorHAnsi"/>
        </w:rPr>
        <w:t xml:space="preserve"> (zie </w:t>
      </w:r>
      <w:r w:rsidR="006E6B33">
        <w:rPr>
          <w:rFonts w:cstheme="minorHAnsi"/>
        </w:rPr>
        <w:t>hun PPT-</w:t>
      </w:r>
      <w:r w:rsidR="00C47835">
        <w:rPr>
          <w:rFonts w:cstheme="minorHAnsi"/>
        </w:rPr>
        <w:t xml:space="preserve">presentatie voor verantwoording van de keuze voor de WWL-tabel in plaats van </w:t>
      </w:r>
      <w:r w:rsidR="008F3C95">
        <w:rPr>
          <w:rFonts w:cstheme="minorHAnsi"/>
        </w:rPr>
        <w:t xml:space="preserve">de </w:t>
      </w:r>
      <w:r w:rsidR="00C47835">
        <w:rPr>
          <w:rFonts w:cstheme="minorHAnsi"/>
        </w:rPr>
        <w:t>maatwerktool)</w:t>
      </w:r>
      <w:r w:rsidR="003D3465">
        <w:rPr>
          <w:rFonts w:cstheme="minorHAnsi"/>
        </w:rPr>
        <w:t>. Sinds 2018</w:t>
      </w:r>
      <w:r w:rsidR="006E6B33">
        <w:rPr>
          <w:rFonts w:cstheme="minorHAnsi"/>
        </w:rPr>
        <w:t xml:space="preserve"> </w:t>
      </w:r>
      <w:r w:rsidR="003D3465">
        <w:rPr>
          <w:rFonts w:cstheme="minorHAnsi"/>
        </w:rPr>
        <w:t xml:space="preserve">gebruikt het waterschap hiervoor de Waterwijzer Landbouw, maar ook de </w:t>
      </w:r>
      <w:r w:rsidR="006E6B33">
        <w:rPr>
          <w:rFonts w:cstheme="minorHAnsi"/>
        </w:rPr>
        <w:t>W</w:t>
      </w:r>
      <w:r w:rsidR="003D3465">
        <w:rPr>
          <w:rFonts w:cstheme="minorHAnsi"/>
        </w:rPr>
        <w:t xml:space="preserve">aterwijzer Natuur, ter vervanging van het </w:t>
      </w:r>
      <w:r w:rsidR="008C0CBB">
        <w:rPr>
          <w:rFonts w:cstheme="minorHAnsi"/>
        </w:rPr>
        <w:t>zogenoemde W</w:t>
      </w:r>
      <w:r w:rsidR="003D3465">
        <w:rPr>
          <w:rFonts w:cstheme="minorHAnsi"/>
        </w:rPr>
        <w:t xml:space="preserve">aternoodinstrumentarium. De </w:t>
      </w:r>
      <w:r w:rsidR="006E6B33">
        <w:rPr>
          <w:rFonts w:cstheme="minorHAnsi"/>
        </w:rPr>
        <w:t>W</w:t>
      </w:r>
      <w:r w:rsidR="003D3465">
        <w:rPr>
          <w:rFonts w:cstheme="minorHAnsi"/>
        </w:rPr>
        <w:t>aterwijzer</w:t>
      </w:r>
      <w:r w:rsidR="00606B0F">
        <w:rPr>
          <w:rFonts w:cstheme="minorHAnsi"/>
        </w:rPr>
        <w:t>s</w:t>
      </w:r>
      <w:r w:rsidR="003D3465">
        <w:rPr>
          <w:rFonts w:cstheme="minorHAnsi"/>
        </w:rPr>
        <w:t xml:space="preserve"> word</w:t>
      </w:r>
      <w:r w:rsidR="006E6B33">
        <w:rPr>
          <w:rFonts w:cstheme="minorHAnsi"/>
        </w:rPr>
        <w:t xml:space="preserve">en </w:t>
      </w:r>
      <w:r w:rsidR="00336B14">
        <w:rPr>
          <w:rFonts w:cstheme="minorHAnsi"/>
        </w:rPr>
        <w:t>gebruikt</w:t>
      </w:r>
      <w:r w:rsidR="003D3465">
        <w:rPr>
          <w:rFonts w:cstheme="minorHAnsi"/>
        </w:rPr>
        <w:t xml:space="preserve"> om de huidige situatie in beeld te brengen en te kijken waar zich actuele </w:t>
      </w:r>
      <w:r w:rsidR="00336B14">
        <w:rPr>
          <w:rFonts w:cstheme="minorHAnsi"/>
        </w:rPr>
        <w:t>knelpunten</w:t>
      </w:r>
      <w:r w:rsidR="003D3465">
        <w:rPr>
          <w:rFonts w:cstheme="minorHAnsi"/>
        </w:rPr>
        <w:t xml:space="preserve"> voordien als het gaat om nat- de droogteschades. Dit beeld wordt getoetst aan de praktijk en besproken met de belanghebbenden in het peilgebied. Uiteindelijk wordt gekeken waar voor welke functie verbeteringen mogelijk zijn. Op </w:t>
      </w:r>
      <w:r w:rsidR="00336B14">
        <w:rPr>
          <w:rFonts w:cstheme="minorHAnsi"/>
        </w:rPr>
        <w:t>basis</w:t>
      </w:r>
      <w:r w:rsidR="003D3465">
        <w:rPr>
          <w:rFonts w:cstheme="minorHAnsi"/>
        </w:rPr>
        <w:t xml:space="preserve"> van de uitkomsten worden met behulp van de instrumenten ook peilscenario’s ontwikkeld en doorgerekend. Daarna volgt een afweging </w:t>
      </w:r>
      <w:r w:rsidR="00336B14">
        <w:rPr>
          <w:rFonts w:cstheme="minorHAnsi"/>
        </w:rPr>
        <w:t>waarbij</w:t>
      </w:r>
      <w:r w:rsidR="003D3465">
        <w:rPr>
          <w:rFonts w:cstheme="minorHAnsi"/>
        </w:rPr>
        <w:t xml:space="preserve"> wordt gekeken naar de technische haalbaarheid van de voorgestelde aanpassingen, maar ook de mate van verbetering en het effect van aanpassingen op ander</w:t>
      </w:r>
      <w:r w:rsidR="0074121E">
        <w:rPr>
          <w:rFonts w:cstheme="minorHAnsi"/>
        </w:rPr>
        <w:t>e</w:t>
      </w:r>
      <w:r w:rsidR="003D3465">
        <w:rPr>
          <w:rFonts w:cstheme="minorHAnsi"/>
        </w:rPr>
        <w:t xml:space="preserve"> functies. </w:t>
      </w:r>
      <w:r w:rsidR="006E6B33">
        <w:rPr>
          <w:rFonts w:cstheme="minorHAnsi"/>
        </w:rPr>
        <w:br/>
      </w:r>
      <w:r w:rsidR="006E6B33">
        <w:rPr>
          <w:rFonts w:cstheme="minorHAnsi"/>
        </w:rPr>
        <w:br/>
      </w:r>
      <w:r w:rsidR="006E6B33" w:rsidRPr="006E6B33">
        <w:rPr>
          <w:rFonts w:cstheme="minorHAnsi"/>
          <w:b/>
          <w:bCs/>
        </w:rPr>
        <w:t>Communicatie</w:t>
      </w:r>
    </w:p>
    <w:p w14:paraId="7C0D69AA" w14:textId="4EC780E4" w:rsidR="003D3465" w:rsidRDefault="00336B14" w:rsidP="00D91D07">
      <w:pPr>
        <w:rPr>
          <w:rFonts w:cstheme="minorHAnsi"/>
        </w:rPr>
      </w:pPr>
      <w:r>
        <w:rPr>
          <w:rFonts w:cstheme="minorHAnsi"/>
        </w:rPr>
        <w:t>De ervaringen</w:t>
      </w:r>
      <w:r w:rsidR="003D3465">
        <w:rPr>
          <w:rFonts w:cstheme="minorHAnsi"/>
        </w:rPr>
        <w:t xml:space="preserve"> met het gebruik van het </w:t>
      </w:r>
      <w:r>
        <w:rPr>
          <w:rFonts w:cstheme="minorHAnsi"/>
        </w:rPr>
        <w:t>instrumentarium</w:t>
      </w:r>
      <w:r w:rsidR="003D3465">
        <w:rPr>
          <w:rFonts w:cstheme="minorHAnsi"/>
        </w:rPr>
        <w:t xml:space="preserve"> </w:t>
      </w:r>
      <w:r w:rsidR="006E6B33">
        <w:rPr>
          <w:rFonts w:cstheme="minorHAnsi"/>
        </w:rPr>
        <w:t xml:space="preserve">waren </w:t>
      </w:r>
      <w:r w:rsidR="003D3465">
        <w:rPr>
          <w:rFonts w:cstheme="minorHAnsi"/>
        </w:rPr>
        <w:t xml:space="preserve">positief. </w:t>
      </w:r>
      <w:r>
        <w:rPr>
          <w:rFonts w:cstheme="minorHAnsi"/>
        </w:rPr>
        <w:t xml:space="preserve">Maar </w:t>
      </w:r>
      <w:r w:rsidR="006E6B33">
        <w:rPr>
          <w:rFonts w:cstheme="minorHAnsi"/>
        </w:rPr>
        <w:t xml:space="preserve">Ingrid van den Brink en Judith van Tol benadrukten wel </w:t>
      </w:r>
      <w:r w:rsidR="0074121E">
        <w:rPr>
          <w:rFonts w:cstheme="minorHAnsi"/>
        </w:rPr>
        <w:t xml:space="preserve">dat </w:t>
      </w:r>
      <w:r>
        <w:rPr>
          <w:rFonts w:cstheme="minorHAnsi"/>
        </w:rPr>
        <w:t>de Waterwijzer Landbouw een model</w:t>
      </w:r>
      <w:r w:rsidR="006E6B33">
        <w:rPr>
          <w:rFonts w:cstheme="minorHAnsi"/>
        </w:rPr>
        <w:t xml:space="preserve"> is </w:t>
      </w:r>
      <w:r w:rsidR="008C0CBB">
        <w:rPr>
          <w:rFonts w:cstheme="minorHAnsi"/>
        </w:rPr>
        <w:t>é</w:t>
      </w:r>
      <w:r w:rsidR="006E6B33">
        <w:rPr>
          <w:rFonts w:cstheme="minorHAnsi"/>
        </w:rPr>
        <w:t>n blijft</w:t>
      </w:r>
      <w:r>
        <w:rPr>
          <w:rFonts w:cstheme="minorHAnsi"/>
        </w:rPr>
        <w:t xml:space="preserve">. Communicatie met stakeholders in zo’n proces is heel belangrijk, alsook het toetsen van de resultaten aan de praktijk (kloppen de uitkomsten?). </w:t>
      </w:r>
      <w:r w:rsidR="006E6B33">
        <w:rPr>
          <w:rFonts w:cstheme="minorHAnsi"/>
        </w:rPr>
        <w:t xml:space="preserve">Ook zij hadden de ervaring dat </w:t>
      </w:r>
      <w:r>
        <w:rPr>
          <w:rFonts w:cstheme="minorHAnsi"/>
        </w:rPr>
        <w:t>de</w:t>
      </w:r>
      <w:r w:rsidR="00A56F07">
        <w:rPr>
          <w:rFonts w:cstheme="minorHAnsi"/>
        </w:rPr>
        <w:t xml:space="preserve"> WWL droogteschade overschat </w:t>
      </w:r>
      <w:r w:rsidR="006E6B33">
        <w:rPr>
          <w:rFonts w:cstheme="minorHAnsi"/>
        </w:rPr>
        <w:t xml:space="preserve">op </w:t>
      </w:r>
      <w:r w:rsidR="00A56F07">
        <w:rPr>
          <w:rFonts w:cstheme="minorHAnsi"/>
        </w:rPr>
        <w:t xml:space="preserve">kleigronden. </w:t>
      </w:r>
      <w:r w:rsidR="006E6B33">
        <w:rPr>
          <w:rFonts w:cstheme="minorHAnsi"/>
        </w:rPr>
        <w:t>Z</w:t>
      </w:r>
      <w:r w:rsidR="00A56F07">
        <w:rPr>
          <w:rFonts w:cstheme="minorHAnsi"/>
        </w:rPr>
        <w:t xml:space="preserve">e </w:t>
      </w:r>
      <w:r w:rsidR="006E6B33">
        <w:rPr>
          <w:rFonts w:cstheme="minorHAnsi"/>
        </w:rPr>
        <w:t xml:space="preserve">vroegen </w:t>
      </w:r>
      <w:r w:rsidR="00C47835">
        <w:rPr>
          <w:rFonts w:cstheme="minorHAnsi"/>
        </w:rPr>
        <w:t>aandacht</w:t>
      </w:r>
      <w:r w:rsidR="00A56F07">
        <w:rPr>
          <w:rFonts w:cstheme="minorHAnsi"/>
        </w:rPr>
        <w:t xml:space="preserve"> voor beregening die de droogteschade </w:t>
      </w:r>
      <w:r w:rsidR="00C47835">
        <w:rPr>
          <w:rFonts w:cstheme="minorHAnsi"/>
        </w:rPr>
        <w:t>beïnvloedt</w:t>
      </w:r>
      <w:r w:rsidR="00A56F07">
        <w:rPr>
          <w:rFonts w:cstheme="minorHAnsi"/>
        </w:rPr>
        <w:t xml:space="preserve">. Verder </w:t>
      </w:r>
      <w:r w:rsidR="006E6B33">
        <w:rPr>
          <w:rFonts w:cstheme="minorHAnsi"/>
        </w:rPr>
        <w:t xml:space="preserve">gaven ze aan dat de </w:t>
      </w:r>
      <w:r w:rsidR="00A56F07">
        <w:rPr>
          <w:rFonts w:cstheme="minorHAnsi"/>
        </w:rPr>
        <w:t xml:space="preserve">keuze van gewassen </w:t>
      </w:r>
      <w:r w:rsidR="006E6B33">
        <w:rPr>
          <w:rFonts w:cstheme="minorHAnsi"/>
        </w:rPr>
        <w:t xml:space="preserve">ook sterk </w:t>
      </w:r>
      <w:r w:rsidR="00A56F07">
        <w:rPr>
          <w:rFonts w:cstheme="minorHAnsi"/>
        </w:rPr>
        <w:t>de mate van schade</w:t>
      </w:r>
      <w:r w:rsidR="006E6B33">
        <w:rPr>
          <w:rFonts w:cstheme="minorHAnsi"/>
        </w:rPr>
        <w:t xml:space="preserve"> bepaalt</w:t>
      </w:r>
      <w:r w:rsidR="00A56F07">
        <w:rPr>
          <w:rFonts w:cstheme="minorHAnsi"/>
        </w:rPr>
        <w:t xml:space="preserve">, dat </w:t>
      </w:r>
      <w:r w:rsidR="006E6B33">
        <w:rPr>
          <w:rFonts w:cstheme="minorHAnsi"/>
        </w:rPr>
        <w:t xml:space="preserve">moet dus zo goed mogelijk worden meegenomen </w:t>
      </w:r>
      <w:r w:rsidR="00A56F07">
        <w:rPr>
          <w:rFonts w:cstheme="minorHAnsi"/>
        </w:rPr>
        <w:t>in de WWL (uitbreiden aantal gewassen)</w:t>
      </w:r>
      <w:r w:rsidR="006E6B33">
        <w:rPr>
          <w:rFonts w:cstheme="minorHAnsi"/>
        </w:rPr>
        <w:t xml:space="preserve">. </w:t>
      </w:r>
      <w:r w:rsidR="00A56F07">
        <w:rPr>
          <w:rFonts w:cstheme="minorHAnsi"/>
        </w:rPr>
        <w:t xml:space="preserve"> Tot </w:t>
      </w:r>
      <w:r>
        <w:rPr>
          <w:rFonts w:cstheme="minorHAnsi"/>
        </w:rPr>
        <w:t>slot</w:t>
      </w:r>
      <w:r w:rsidR="00A56F07">
        <w:rPr>
          <w:rFonts w:cstheme="minorHAnsi"/>
        </w:rPr>
        <w:t xml:space="preserve"> maakten de beide hydrologen een bruggetje naar de Waterwijzer Natuur. Hun aanbeveling is om de inputeisen beter op elkaar af te stemmen; die voor WWN zijn strenger.</w:t>
      </w:r>
      <w:r w:rsidR="003D3465">
        <w:rPr>
          <w:rFonts w:cstheme="minorHAnsi"/>
        </w:rPr>
        <w:t xml:space="preserve"> </w:t>
      </w:r>
      <w:r w:rsidR="007B53A8">
        <w:rPr>
          <w:rFonts w:cstheme="minorHAnsi"/>
        </w:rPr>
        <w:t>En als je met beide aan de slag gaat is het goed om te weten dat het verstandig is om te starten met de Waterwijzer Natuur.</w:t>
      </w:r>
    </w:p>
    <w:p w14:paraId="50200CB4" w14:textId="61A33227" w:rsidR="003D3465" w:rsidRDefault="003D3465" w:rsidP="00D91D07">
      <w:pPr>
        <w:rPr>
          <w:rFonts w:cstheme="minorHAnsi"/>
        </w:rPr>
      </w:pPr>
    </w:p>
    <w:p w14:paraId="3D1537CD" w14:textId="75334714" w:rsidR="00486FAB" w:rsidRPr="00486FAB" w:rsidRDefault="00486FAB" w:rsidP="00D91D07">
      <w:pPr>
        <w:rPr>
          <w:rFonts w:cstheme="minorHAnsi"/>
          <w:b/>
          <w:bCs/>
        </w:rPr>
      </w:pPr>
      <w:r w:rsidRPr="00486FAB">
        <w:rPr>
          <w:rFonts w:cstheme="minorHAnsi"/>
          <w:b/>
          <w:bCs/>
        </w:rPr>
        <w:t>Droogteschaderegelingen</w:t>
      </w:r>
    </w:p>
    <w:p w14:paraId="6F9502B9" w14:textId="015C4531" w:rsidR="00FD3BEB" w:rsidRDefault="00336B14" w:rsidP="00D91D07">
      <w:pPr>
        <w:rPr>
          <w:rFonts w:cstheme="minorHAnsi"/>
        </w:rPr>
      </w:pPr>
      <w:r>
        <w:rPr>
          <w:rFonts w:cstheme="minorHAnsi"/>
        </w:rPr>
        <w:t>Drinkwaterleidingbedrijf</w:t>
      </w:r>
      <w:r w:rsidR="001D3645">
        <w:rPr>
          <w:rFonts w:cstheme="minorHAnsi"/>
        </w:rPr>
        <w:t xml:space="preserve"> </w:t>
      </w:r>
      <w:r>
        <w:rPr>
          <w:rFonts w:cstheme="minorHAnsi"/>
        </w:rPr>
        <w:t>Vitens</w:t>
      </w:r>
      <w:r w:rsidR="001D3645">
        <w:rPr>
          <w:rFonts w:cstheme="minorHAnsi"/>
        </w:rPr>
        <w:t xml:space="preserve"> is bezig de droogt</w:t>
      </w:r>
      <w:r w:rsidR="0052243E">
        <w:rPr>
          <w:rFonts w:cstheme="minorHAnsi"/>
        </w:rPr>
        <w:t>e</w:t>
      </w:r>
      <w:r w:rsidR="001D3645">
        <w:rPr>
          <w:rFonts w:cstheme="minorHAnsi"/>
        </w:rPr>
        <w:t xml:space="preserve">schaderegelingen in </w:t>
      </w:r>
      <w:r w:rsidR="0052243E">
        <w:rPr>
          <w:rFonts w:cstheme="minorHAnsi"/>
        </w:rPr>
        <w:t>Gelderland</w:t>
      </w:r>
      <w:r w:rsidR="001D3645">
        <w:rPr>
          <w:rFonts w:cstheme="minorHAnsi"/>
        </w:rPr>
        <w:t xml:space="preserve"> te actualiseren</w:t>
      </w:r>
      <w:r w:rsidR="008C0CBB">
        <w:rPr>
          <w:rFonts w:cstheme="minorHAnsi"/>
        </w:rPr>
        <w:t>. O</w:t>
      </w:r>
      <w:r w:rsidR="001D3645">
        <w:rPr>
          <w:rFonts w:cstheme="minorHAnsi"/>
        </w:rPr>
        <w:t xml:space="preserve">nder meer als gevolg van veranderingen in de </w:t>
      </w:r>
      <w:r w:rsidR="0052243E">
        <w:rPr>
          <w:rFonts w:cstheme="minorHAnsi"/>
        </w:rPr>
        <w:t>grootte</w:t>
      </w:r>
      <w:r w:rsidR="001D3645">
        <w:rPr>
          <w:rFonts w:cstheme="minorHAnsi"/>
        </w:rPr>
        <w:t xml:space="preserve"> van de </w:t>
      </w:r>
      <w:r>
        <w:rPr>
          <w:rFonts w:cstheme="minorHAnsi"/>
        </w:rPr>
        <w:t>onttrekkingsgebieden</w:t>
      </w:r>
      <w:r w:rsidR="001D3645">
        <w:rPr>
          <w:rFonts w:cstheme="minorHAnsi"/>
        </w:rPr>
        <w:t xml:space="preserve">, maar ook naar aanleiding van veranderingen in het klimaat. Bij het bepalen van de regelingen maakte men tot </w:t>
      </w:r>
      <w:r w:rsidR="006E6B33">
        <w:rPr>
          <w:rFonts w:cstheme="minorHAnsi"/>
        </w:rPr>
        <w:t xml:space="preserve">dusver </w:t>
      </w:r>
      <w:r w:rsidR="001D3645">
        <w:rPr>
          <w:rFonts w:cstheme="minorHAnsi"/>
        </w:rPr>
        <w:t xml:space="preserve">bijna uitsluitend gebruik van de TCGB-tabellen, </w:t>
      </w:r>
      <w:r w:rsidR="00B028C1">
        <w:rPr>
          <w:rFonts w:cstheme="minorHAnsi"/>
        </w:rPr>
        <w:t>vergelijkbaar met de</w:t>
      </w:r>
      <w:r w:rsidR="001D3645">
        <w:rPr>
          <w:rFonts w:cstheme="minorHAnsi"/>
        </w:rPr>
        <w:t xml:space="preserve"> HELP-tabellen. In een pilot bij de productielocatie Aalten is gekeken in hoeverre de </w:t>
      </w:r>
      <w:r>
        <w:rPr>
          <w:rFonts w:cstheme="minorHAnsi"/>
        </w:rPr>
        <w:t>resultaten</w:t>
      </w:r>
      <w:r w:rsidR="001D3645">
        <w:rPr>
          <w:rFonts w:cstheme="minorHAnsi"/>
        </w:rPr>
        <w:t xml:space="preserve"> van TCGB en WWL van elkaar verschillen. Dit als opmaat voor een eventuele toekomstige keuze voor </w:t>
      </w:r>
      <w:r w:rsidR="006E6B33">
        <w:rPr>
          <w:rFonts w:cstheme="minorHAnsi"/>
        </w:rPr>
        <w:t>éé</w:t>
      </w:r>
      <w:r w:rsidR="001D3645">
        <w:rPr>
          <w:rFonts w:cstheme="minorHAnsi"/>
        </w:rPr>
        <w:t xml:space="preserve">n van de instrumenten bij de komende actualisatie. In de pilots heeft men alleen gekeken naar droogtestress, aldus Bernadette </w:t>
      </w:r>
      <w:r w:rsidR="001D3645">
        <w:rPr>
          <w:rFonts w:cstheme="minorHAnsi"/>
        </w:rPr>
        <w:lastRenderedPageBreak/>
        <w:t xml:space="preserve">Raaijmakers van Vitens. De belangrijkste conclusies: </w:t>
      </w:r>
      <w:r w:rsidR="00FD3BEB">
        <w:rPr>
          <w:rFonts w:cstheme="minorHAnsi"/>
        </w:rPr>
        <w:t>TCGB en WWL-regionaal leveren voor de onderzochte jaren (2017 en 2019) vergelijkbare droogteschades</w:t>
      </w:r>
      <w:r w:rsidR="00B028C1">
        <w:rPr>
          <w:rFonts w:cstheme="minorHAnsi"/>
        </w:rPr>
        <w:t xml:space="preserve"> </w:t>
      </w:r>
      <w:r w:rsidR="008C0CBB">
        <w:rPr>
          <w:rFonts w:cstheme="minorHAnsi"/>
        </w:rPr>
        <w:t xml:space="preserve">op </w:t>
      </w:r>
      <w:r w:rsidR="00B028C1">
        <w:rPr>
          <w:rFonts w:cstheme="minorHAnsi"/>
        </w:rPr>
        <w:t>als gevolg van de winning</w:t>
      </w:r>
      <w:r w:rsidR="00FD3BEB">
        <w:rPr>
          <w:rFonts w:cstheme="minorHAnsi"/>
        </w:rPr>
        <w:t xml:space="preserve">. Er zit een verschil </w:t>
      </w:r>
      <w:r>
        <w:rPr>
          <w:rFonts w:cstheme="minorHAnsi"/>
        </w:rPr>
        <w:t>tussen</w:t>
      </w:r>
      <w:r w:rsidR="00FD3BEB">
        <w:rPr>
          <w:rFonts w:cstheme="minorHAnsi"/>
        </w:rPr>
        <w:t xml:space="preserve"> de uitkomsten van de WWL-tabel en WWL-regionaal bij de berekeningen over 2017</w:t>
      </w:r>
      <w:r w:rsidR="00B028C1">
        <w:rPr>
          <w:rFonts w:cstheme="minorHAnsi"/>
        </w:rPr>
        <w:t xml:space="preserve"> (waarbij is gekozen voor een specifiek droogtejaar uit de reeks 1911-1986 uit de TCGB-tabellen en het jaar 2008 van de WWL-tabel</w:t>
      </w:r>
      <w:r w:rsidR="00FD3BEB">
        <w:rPr>
          <w:rFonts w:cstheme="minorHAnsi"/>
        </w:rPr>
        <w:t xml:space="preserve">: </w:t>
      </w:r>
      <w:r>
        <w:rPr>
          <w:rFonts w:cstheme="minorHAnsi"/>
        </w:rPr>
        <w:t>WWL-regionaal</w:t>
      </w:r>
      <w:r w:rsidR="00FD3BEB">
        <w:rPr>
          <w:rFonts w:cstheme="minorHAnsi"/>
        </w:rPr>
        <w:t xml:space="preserve"> 2,63%, WWL-tabel: 1,43%; TCGB: 1,90%). Raaijmakers </w:t>
      </w:r>
      <w:r>
        <w:rPr>
          <w:rFonts w:cstheme="minorHAnsi"/>
        </w:rPr>
        <w:t>adviseerde</w:t>
      </w:r>
      <w:r w:rsidR="00FD3BEB">
        <w:rPr>
          <w:rFonts w:cstheme="minorHAnsi"/>
        </w:rPr>
        <w:t xml:space="preserve"> om flink in </w:t>
      </w:r>
      <w:r>
        <w:rPr>
          <w:rFonts w:cstheme="minorHAnsi"/>
        </w:rPr>
        <w:t>te zetten</w:t>
      </w:r>
      <w:r w:rsidR="00FD3BEB">
        <w:rPr>
          <w:rFonts w:cstheme="minorHAnsi"/>
        </w:rPr>
        <w:t xml:space="preserve"> op verdere validatie van </w:t>
      </w:r>
      <w:r>
        <w:rPr>
          <w:rFonts w:cstheme="minorHAnsi"/>
        </w:rPr>
        <w:t>de WWL</w:t>
      </w:r>
      <w:r w:rsidR="00FD3BEB">
        <w:rPr>
          <w:rFonts w:cstheme="minorHAnsi"/>
        </w:rPr>
        <w:t xml:space="preserve">. </w:t>
      </w:r>
      <w:r>
        <w:rPr>
          <w:rFonts w:cstheme="minorHAnsi"/>
        </w:rPr>
        <w:t>Maar ook om de gevoeligheid van invoerdata nader te onderzoeken</w:t>
      </w:r>
      <w:r w:rsidR="00486FAB">
        <w:rPr>
          <w:rFonts w:cstheme="minorHAnsi"/>
        </w:rPr>
        <w:t xml:space="preserve"> </w:t>
      </w:r>
      <w:r>
        <w:rPr>
          <w:rFonts w:cstheme="minorHAnsi"/>
        </w:rPr>
        <w:t>(denk aan grondwaterreeks, fysische bodemparameters, meteo-gegevens), juist omdat deze volgens haar grote invloed lijken te hebbe</w:t>
      </w:r>
      <w:r w:rsidR="00486FAB">
        <w:rPr>
          <w:rFonts w:cstheme="minorHAnsi"/>
        </w:rPr>
        <w:t>n</w:t>
      </w:r>
      <w:r>
        <w:rPr>
          <w:rFonts w:cstheme="minorHAnsi"/>
        </w:rPr>
        <w:t xml:space="preserve"> op de uiteindelijke modeluitkomsten.</w:t>
      </w:r>
    </w:p>
    <w:p w14:paraId="026DC0B3" w14:textId="4786539E" w:rsidR="00FD3BEB" w:rsidRDefault="00FD3BEB" w:rsidP="00D91D07">
      <w:pPr>
        <w:rPr>
          <w:rFonts w:cstheme="minorHAnsi"/>
        </w:rPr>
      </w:pPr>
    </w:p>
    <w:p w14:paraId="486C7B6E" w14:textId="16CC9030" w:rsidR="00486FAB" w:rsidRPr="00486FAB" w:rsidRDefault="00486FAB" w:rsidP="00D91D07">
      <w:pPr>
        <w:rPr>
          <w:rFonts w:cstheme="minorHAnsi"/>
          <w:b/>
          <w:bCs/>
        </w:rPr>
      </w:pPr>
      <w:r w:rsidRPr="00486FAB">
        <w:rPr>
          <w:rFonts w:cstheme="minorHAnsi"/>
          <w:b/>
          <w:bCs/>
        </w:rPr>
        <w:t xml:space="preserve">Validatie </w:t>
      </w:r>
    </w:p>
    <w:p w14:paraId="36517147" w14:textId="38917E93" w:rsidR="00486FAB" w:rsidRDefault="00D91D07" w:rsidP="00D91D07">
      <w:pPr>
        <w:rPr>
          <w:rFonts w:eastAsia="Times New Roman" w:cstheme="minorHAnsi"/>
          <w:lang w:eastAsia="nl-NL"/>
        </w:rPr>
      </w:pPr>
      <w:r w:rsidRPr="00D91D07">
        <w:rPr>
          <w:rFonts w:cstheme="minorHAnsi"/>
        </w:rPr>
        <w:t>De validatie van het instrument (het ijken van de modelresultaten aan gevonden resultaten in het veld) staat bij</w:t>
      </w:r>
      <w:r w:rsidR="00486FAB">
        <w:rPr>
          <w:rFonts w:cstheme="minorHAnsi"/>
        </w:rPr>
        <w:t xml:space="preserve"> de ontwikkelaars, maar ook bij gebruikers </w:t>
      </w:r>
      <w:r w:rsidRPr="00D91D07">
        <w:rPr>
          <w:rFonts w:cstheme="minorHAnsi"/>
        </w:rPr>
        <w:t xml:space="preserve">hoog </w:t>
      </w:r>
      <w:r w:rsidR="00486FAB">
        <w:rPr>
          <w:rFonts w:cstheme="minorHAnsi"/>
        </w:rPr>
        <w:t>o</w:t>
      </w:r>
      <w:r w:rsidRPr="00D91D07">
        <w:rPr>
          <w:rFonts w:cstheme="minorHAnsi"/>
        </w:rPr>
        <w:t xml:space="preserve">p de agenda. Er is </w:t>
      </w:r>
      <w:r w:rsidR="00486FAB">
        <w:rPr>
          <w:rFonts w:cstheme="minorHAnsi"/>
        </w:rPr>
        <w:t xml:space="preserve">hier de </w:t>
      </w:r>
      <w:r w:rsidRPr="00D91D07">
        <w:rPr>
          <w:rFonts w:cstheme="minorHAnsi"/>
        </w:rPr>
        <w:t xml:space="preserve">afgelopen periode </w:t>
      </w:r>
      <w:r w:rsidR="00486FAB">
        <w:rPr>
          <w:rFonts w:cstheme="minorHAnsi"/>
        </w:rPr>
        <w:t xml:space="preserve">al de nodige aandacht aan besteed </w:t>
      </w:r>
      <w:r w:rsidRPr="00D91D07">
        <w:rPr>
          <w:rFonts w:cstheme="minorHAnsi"/>
        </w:rPr>
        <w:t xml:space="preserve">en ook de komende periode zal hier veel nadruk op komen te liggen. Martin Mulder </w:t>
      </w:r>
      <w:r w:rsidR="00486FAB">
        <w:rPr>
          <w:rFonts w:cstheme="minorHAnsi"/>
        </w:rPr>
        <w:t>(WE</w:t>
      </w:r>
      <w:r w:rsidR="00B028C1">
        <w:rPr>
          <w:rFonts w:cstheme="minorHAnsi"/>
        </w:rPr>
        <w:t>N</w:t>
      </w:r>
      <w:r w:rsidR="00486FAB">
        <w:rPr>
          <w:rFonts w:cstheme="minorHAnsi"/>
        </w:rPr>
        <w:t xml:space="preserve">R) </w:t>
      </w:r>
      <w:r w:rsidRPr="00D91D07">
        <w:rPr>
          <w:rFonts w:cstheme="minorHAnsi"/>
        </w:rPr>
        <w:t xml:space="preserve">vertelde </w:t>
      </w:r>
      <w:r w:rsidR="00486FAB">
        <w:rPr>
          <w:rFonts w:cstheme="minorHAnsi"/>
        </w:rPr>
        <w:t xml:space="preserve">na de gebruikerspresentaties </w:t>
      </w:r>
      <w:r w:rsidRPr="00D91D07">
        <w:rPr>
          <w:rFonts w:cstheme="minorHAnsi"/>
        </w:rPr>
        <w:t xml:space="preserve">meer over een </w:t>
      </w:r>
      <w:r w:rsidR="00FA53F3">
        <w:rPr>
          <w:rFonts w:cstheme="minorHAnsi"/>
        </w:rPr>
        <w:t xml:space="preserve">(nog lopend) </w:t>
      </w:r>
      <w:r w:rsidRPr="00D91D07">
        <w:rPr>
          <w:rFonts w:cstheme="minorHAnsi"/>
        </w:rPr>
        <w:t xml:space="preserve">onderzoek waarbij de modeluitkomsten van de </w:t>
      </w:r>
      <w:r w:rsidR="00486FAB">
        <w:rPr>
          <w:rFonts w:cstheme="minorHAnsi"/>
        </w:rPr>
        <w:t>W</w:t>
      </w:r>
      <w:r w:rsidRPr="00D91D07">
        <w:rPr>
          <w:rFonts w:cstheme="minorHAnsi"/>
        </w:rPr>
        <w:t xml:space="preserve">aterwijzer Landbouw zijn vergeleken met de zogenoemde groenindex van de </w:t>
      </w:r>
      <w:r w:rsidRPr="00D91D07">
        <w:rPr>
          <w:rFonts w:eastAsia="Times New Roman" w:cstheme="minorHAnsi"/>
          <w:lang w:eastAsia="nl-NL"/>
        </w:rPr>
        <w:t>groenmonitor</w:t>
      </w:r>
      <w:r w:rsidR="00B05EEE">
        <w:rPr>
          <w:rFonts w:eastAsia="Times New Roman" w:cstheme="minorHAnsi"/>
          <w:lang w:eastAsia="nl-NL"/>
        </w:rPr>
        <w:t xml:space="preserve"> (variërend van 0,0 tot 1,0)</w:t>
      </w:r>
      <w:r w:rsidRPr="00D91D07">
        <w:rPr>
          <w:rFonts w:eastAsia="Times New Roman" w:cstheme="minorHAnsi"/>
          <w:lang w:eastAsia="nl-NL"/>
        </w:rPr>
        <w:t>. De groenmonitor geeft de actuele</w:t>
      </w:r>
      <w:r w:rsidR="00B028C1">
        <w:rPr>
          <w:rFonts w:eastAsia="Times New Roman" w:cstheme="minorHAnsi"/>
          <w:lang w:eastAsia="nl-NL"/>
        </w:rPr>
        <w:t xml:space="preserve"> ‘groenheid’ van de </w:t>
      </w:r>
      <w:r w:rsidRPr="00D91D07">
        <w:rPr>
          <w:rFonts w:eastAsia="Times New Roman" w:cstheme="minorHAnsi"/>
          <w:lang w:eastAsia="nl-NL"/>
        </w:rPr>
        <w:t xml:space="preserve">vegetatie van Nederland weer, die is verkregen uit satellietbeelden. </w:t>
      </w:r>
      <w:r w:rsidR="00B05EEE">
        <w:rPr>
          <w:rFonts w:eastAsia="Times New Roman" w:cstheme="minorHAnsi"/>
          <w:lang w:eastAsia="nl-NL"/>
        </w:rPr>
        <w:t xml:space="preserve">De groenindex </w:t>
      </w:r>
      <w:r w:rsidR="00ED52BF">
        <w:rPr>
          <w:rFonts w:eastAsia="Times New Roman" w:cstheme="minorHAnsi"/>
          <w:lang w:eastAsia="nl-NL"/>
        </w:rPr>
        <w:t xml:space="preserve">wordt beïnvloed door </w:t>
      </w:r>
      <w:r w:rsidR="00B05EEE">
        <w:rPr>
          <w:rFonts w:eastAsia="Times New Roman" w:cstheme="minorHAnsi"/>
          <w:lang w:eastAsia="nl-NL"/>
        </w:rPr>
        <w:t>het gewas,</w:t>
      </w:r>
      <w:r w:rsidR="00ED52BF">
        <w:rPr>
          <w:rFonts w:eastAsia="Times New Roman" w:cstheme="minorHAnsi"/>
          <w:lang w:eastAsia="nl-NL"/>
        </w:rPr>
        <w:t xml:space="preserve"> het management, zoals bemesting en</w:t>
      </w:r>
      <w:r w:rsidR="00B05EEE">
        <w:rPr>
          <w:rFonts w:eastAsia="Times New Roman" w:cstheme="minorHAnsi"/>
          <w:lang w:eastAsia="nl-NL"/>
        </w:rPr>
        <w:t xml:space="preserve"> wel/niet beregen</w:t>
      </w:r>
      <w:r w:rsidR="00ED52BF">
        <w:rPr>
          <w:rFonts w:eastAsia="Times New Roman" w:cstheme="minorHAnsi"/>
          <w:lang w:eastAsia="nl-NL"/>
        </w:rPr>
        <w:t xml:space="preserve">en, maar natuurlijk ook door droogte. In de droge zomers van de jaren 2018 en 2019 lijkt er een direct verband tussen de groenindex en droogte te zijn. Analyse van de groenmonitordata per </w:t>
      </w:r>
      <w:r w:rsidR="00B05EEE">
        <w:rPr>
          <w:rFonts w:eastAsia="Times New Roman" w:cstheme="minorHAnsi"/>
          <w:lang w:eastAsia="nl-NL"/>
        </w:rPr>
        <w:t>bodemcluster (BOFEK 2020)</w:t>
      </w:r>
      <w:r w:rsidR="00ED52BF">
        <w:rPr>
          <w:rFonts w:eastAsia="Times New Roman" w:cstheme="minorHAnsi"/>
          <w:lang w:eastAsia="nl-NL"/>
        </w:rPr>
        <w:t xml:space="preserve"> en GLG </w:t>
      </w:r>
      <w:r w:rsidR="00D3759C">
        <w:rPr>
          <w:rFonts w:eastAsia="Times New Roman" w:cstheme="minorHAnsi"/>
          <w:lang w:eastAsia="nl-NL"/>
        </w:rPr>
        <w:t xml:space="preserve">laten </w:t>
      </w:r>
      <w:r w:rsidR="00ED52BF">
        <w:rPr>
          <w:rFonts w:eastAsia="Times New Roman" w:cstheme="minorHAnsi"/>
          <w:lang w:eastAsia="nl-NL"/>
        </w:rPr>
        <w:t>een duidelijk verband zien</w:t>
      </w:r>
      <w:r w:rsidR="00B05EEE">
        <w:rPr>
          <w:rFonts w:eastAsia="Times New Roman" w:cstheme="minorHAnsi"/>
          <w:lang w:eastAsia="nl-NL"/>
        </w:rPr>
        <w:t xml:space="preserve">. </w:t>
      </w:r>
      <w:r w:rsidRPr="00D91D07">
        <w:rPr>
          <w:rFonts w:eastAsia="Times New Roman" w:cstheme="minorHAnsi"/>
          <w:lang w:eastAsia="nl-NL"/>
        </w:rPr>
        <w:t xml:space="preserve">Kort door de bocht: </w:t>
      </w:r>
      <w:r w:rsidR="00B05EEE">
        <w:rPr>
          <w:rFonts w:eastAsia="Times New Roman" w:cstheme="minorHAnsi"/>
          <w:lang w:eastAsia="nl-NL"/>
        </w:rPr>
        <w:t>de gevonden kleuren zeggen iets over de mate van verdroging van de gewassen</w:t>
      </w:r>
      <w:r w:rsidR="00ED52BF">
        <w:rPr>
          <w:rFonts w:eastAsia="Times New Roman" w:cstheme="minorHAnsi"/>
          <w:lang w:eastAsia="nl-NL"/>
        </w:rPr>
        <w:t>.</w:t>
      </w:r>
      <w:r w:rsidR="00C93D08">
        <w:rPr>
          <w:rFonts w:eastAsia="Times New Roman" w:cstheme="minorHAnsi"/>
          <w:lang w:eastAsia="nl-NL"/>
        </w:rPr>
        <w:t xml:space="preserve"> </w:t>
      </w:r>
      <w:r w:rsidR="00ED52BF">
        <w:rPr>
          <w:rFonts w:eastAsia="Times New Roman" w:cstheme="minorHAnsi"/>
          <w:lang w:eastAsia="nl-NL"/>
        </w:rPr>
        <w:t xml:space="preserve">Voor een validatiestudie met deze informatie is </w:t>
      </w:r>
      <w:r>
        <w:rPr>
          <w:rFonts w:eastAsia="Times New Roman" w:cstheme="minorHAnsi"/>
          <w:lang w:eastAsia="nl-NL"/>
        </w:rPr>
        <w:t xml:space="preserve">voor het stroomgebied van De </w:t>
      </w:r>
      <w:r w:rsidR="00B05EEE">
        <w:rPr>
          <w:rFonts w:eastAsia="Times New Roman" w:cstheme="minorHAnsi"/>
          <w:lang w:eastAsia="nl-NL"/>
        </w:rPr>
        <w:t xml:space="preserve">Raam </w:t>
      </w:r>
      <w:r w:rsidR="00ED52BF">
        <w:rPr>
          <w:rFonts w:eastAsia="Times New Roman" w:cstheme="minorHAnsi"/>
          <w:lang w:eastAsia="nl-NL"/>
        </w:rPr>
        <w:t xml:space="preserve">op zowel puntschaal als regionale schaal een vergelijking gemaakt tussen </w:t>
      </w:r>
      <w:r>
        <w:rPr>
          <w:rFonts w:eastAsia="Times New Roman" w:cstheme="minorHAnsi"/>
          <w:lang w:eastAsia="nl-NL"/>
        </w:rPr>
        <w:t>uitkomsten van de WWL en de groenmonitor in de period</w:t>
      </w:r>
      <w:r w:rsidR="00B05EEE">
        <w:rPr>
          <w:rFonts w:eastAsia="Times New Roman" w:cstheme="minorHAnsi"/>
          <w:lang w:eastAsia="nl-NL"/>
        </w:rPr>
        <w:t>e</w:t>
      </w:r>
      <w:r>
        <w:rPr>
          <w:rFonts w:eastAsia="Times New Roman" w:cstheme="minorHAnsi"/>
          <w:lang w:eastAsia="nl-NL"/>
        </w:rPr>
        <w:t xml:space="preserve"> 2016-2020</w:t>
      </w:r>
      <w:r w:rsidR="00B05EEE">
        <w:rPr>
          <w:rFonts w:eastAsia="Times New Roman" w:cstheme="minorHAnsi"/>
          <w:lang w:eastAsia="nl-NL"/>
        </w:rPr>
        <w:t xml:space="preserve">. </w:t>
      </w:r>
    </w:p>
    <w:p w14:paraId="019ABD0F" w14:textId="77777777" w:rsidR="00486FAB" w:rsidRDefault="00486FAB" w:rsidP="00D91D07">
      <w:pPr>
        <w:rPr>
          <w:rFonts w:eastAsia="Times New Roman" w:cstheme="minorHAnsi"/>
          <w:lang w:eastAsia="nl-NL"/>
        </w:rPr>
      </w:pPr>
    </w:p>
    <w:p w14:paraId="057AB204" w14:textId="77777777" w:rsidR="00D3759C" w:rsidRDefault="00B05EEE" w:rsidP="00D91D07">
      <w:pPr>
        <w:rPr>
          <w:rFonts w:eastAsia="Times New Roman" w:cstheme="minorHAnsi"/>
          <w:lang w:eastAsia="nl-NL"/>
        </w:rPr>
      </w:pPr>
      <w:r>
        <w:rPr>
          <w:rFonts w:eastAsia="Times New Roman" w:cstheme="minorHAnsi"/>
          <w:lang w:eastAsia="nl-NL"/>
        </w:rPr>
        <w:t>De belangrijkste uitkomsten waren dat de momenten van reductie in de groenindex</w:t>
      </w:r>
      <w:r w:rsidR="00EA57F3">
        <w:rPr>
          <w:rFonts w:eastAsia="Times New Roman" w:cstheme="minorHAnsi"/>
          <w:lang w:eastAsia="nl-NL"/>
        </w:rPr>
        <w:t xml:space="preserve"> ook</w:t>
      </w:r>
      <w:r>
        <w:rPr>
          <w:rFonts w:eastAsia="Times New Roman" w:cstheme="minorHAnsi"/>
          <w:lang w:eastAsia="nl-NL"/>
        </w:rPr>
        <w:t xml:space="preserve"> terug te zien zijn in de WWL</w:t>
      </w:r>
      <w:r w:rsidR="00D3759C">
        <w:rPr>
          <w:rFonts w:eastAsia="Times New Roman" w:cstheme="minorHAnsi"/>
          <w:lang w:eastAsia="nl-NL"/>
        </w:rPr>
        <w:t>-</w:t>
      </w:r>
      <w:r>
        <w:rPr>
          <w:rFonts w:eastAsia="Times New Roman" w:cstheme="minorHAnsi"/>
          <w:lang w:eastAsia="nl-NL"/>
        </w:rPr>
        <w:t xml:space="preserve">modelresultaten. Maar er is nog een slag nodig om de resultaten goed te kunnen verklaren. </w:t>
      </w:r>
      <w:r w:rsidR="00D3759C">
        <w:rPr>
          <w:rFonts w:eastAsia="Times New Roman" w:cstheme="minorHAnsi"/>
          <w:lang w:eastAsia="nl-NL"/>
        </w:rPr>
        <w:t xml:space="preserve">Verschillen kunnen </w:t>
      </w:r>
      <w:r w:rsidR="00ED52BF">
        <w:rPr>
          <w:rFonts w:eastAsia="Times New Roman" w:cstheme="minorHAnsi"/>
          <w:lang w:eastAsia="nl-NL"/>
        </w:rPr>
        <w:t>bijvoorbeeld</w:t>
      </w:r>
      <w:r>
        <w:rPr>
          <w:rFonts w:eastAsia="Times New Roman" w:cstheme="minorHAnsi"/>
          <w:lang w:eastAsia="nl-NL"/>
        </w:rPr>
        <w:t xml:space="preserve"> te maken hebben met het feit dat er vanuit wordt </w:t>
      </w:r>
      <w:r w:rsidR="00336B14">
        <w:rPr>
          <w:rFonts w:eastAsia="Times New Roman" w:cstheme="minorHAnsi"/>
          <w:lang w:eastAsia="nl-NL"/>
        </w:rPr>
        <w:t>gegaan</w:t>
      </w:r>
      <w:r>
        <w:rPr>
          <w:rFonts w:eastAsia="Times New Roman" w:cstheme="minorHAnsi"/>
          <w:lang w:eastAsia="nl-NL"/>
        </w:rPr>
        <w:t xml:space="preserve"> dat op een perceel wordt bere</w:t>
      </w:r>
      <w:r w:rsidR="00486FAB">
        <w:rPr>
          <w:rFonts w:eastAsia="Times New Roman" w:cstheme="minorHAnsi"/>
          <w:lang w:eastAsia="nl-NL"/>
        </w:rPr>
        <w:t>g</w:t>
      </w:r>
      <w:r>
        <w:rPr>
          <w:rFonts w:eastAsia="Times New Roman" w:cstheme="minorHAnsi"/>
          <w:lang w:eastAsia="nl-NL"/>
        </w:rPr>
        <w:t xml:space="preserve">end, omdat er </w:t>
      </w:r>
      <w:r w:rsidR="00ED52BF">
        <w:rPr>
          <w:rFonts w:eastAsia="Times New Roman" w:cstheme="minorHAnsi"/>
          <w:lang w:eastAsia="nl-NL"/>
        </w:rPr>
        <w:t xml:space="preserve">is aangegeven dat er een </w:t>
      </w:r>
      <w:r>
        <w:rPr>
          <w:rFonts w:eastAsia="Times New Roman" w:cstheme="minorHAnsi"/>
          <w:lang w:eastAsia="nl-NL"/>
        </w:rPr>
        <w:t>beregeningsinstallatie</w:t>
      </w:r>
      <w:r w:rsidR="00ED52BF">
        <w:rPr>
          <w:rFonts w:eastAsia="Times New Roman" w:cstheme="minorHAnsi"/>
          <w:lang w:eastAsia="nl-NL"/>
        </w:rPr>
        <w:t xml:space="preserve"> zou zijn</w:t>
      </w:r>
      <w:r w:rsidR="00C93D08">
        <w:rPr>
          <w:rFonts w:eastAsia="Times New Roman" w:cstheme="minorHAnsi"/>
          <w:lang w:eastAsia="nl-NL"/>
        </w:rPr>
        <w:t>. M</w:t>
      </w:r>
      <w:r w:rsidR="00ED52BF">
        <w:rPr>
          <w:rFonts w:eastAsia="Times New Roman" w:cstheme="minorHAnsi"/>
          <w:lang w:eastAsia="nl-NL"/>
        </w:rPr>
        <w:t xml:space="preserve">aar uit de groenmonitordata blijkt geen beregening. Ook spelen </w:t>
      </w:r>
      <w:r w:rsidR="00641998">
        <w:rPr>
          <w:rFonts w:eastAsia="Times New Roman" w:cstheme="minorHAnsi"/>
          <w:lang w:eastAsia="nl-NL"/>
        </w:rPr>
        <w:t xml:space="preserve">andere </w:t>
      </w:r>
      <w:r w:rsidR="00D3368D">
        <w:rPr>
          <w:rFonts w:eastAsia="Times New Roman" w:cstheme="minorHAnsi"/>
          <w:lang w:eastAsia="nl-NL"/>
        </w:rPr>
        <w:t>(bedrijfs)managementzaken</w:t>
      </w:r>
      <w:r w:rsidR="00ED52BF">
        <w:rPr>
          <w:rFonts w:eastAsia="Times New Roman" w:cstheme="minorHAnsi"/>
          <w:lang w:eastAsia="nl-NL"/>
        </w:rPr>
        <w:t xml:space="preserve"> een rol zoals bemesting, </w:t>
      </w:r>
      <w:r w:rsidR="00935B66">
        <w:rPr>
          <w:rFonts w:eastAsia="Times New Roman" w:cstheme="minorHAnsi"/>
          <w:lang w:eastAsia="nl-NL"/>
        </w:rPr>
        <w:t xml:space="preserve">gewasvariëteiten, </w:t>
      </w:r>
      <w:r w:rsidR="00ED52BF">
        <w:rPr>
          <w:rFonts w:eastAsia="Times New Roman" w:cstheme="minorHAnsi"/>
          <w:lang w:eastAsia="nl-NL"/>
        </w:rPr>
        <w:t>ziekten en plagen of maaien/beweiden</w:t>
      </w:r>
      <w:r w:rsidR="00D3368D">
        <w:rPr>
          <w:rFonts w:eastAsia="Times New Roman" w:cstheme="minorHAnsi"/>
          <w:lang w:eastAsia="nl-NL"/>
        </w:rPr>
        <w:t>.</w:t>
      </w:r>
      <w:r w:rsidR="00486FAB">
        <w:rPr>
          <w:rFonts w:eastAsia="Times New Roman" w:cstheme="minorHAnsi"/>
          <w:lang w:eastAsia="nl-NL"/>
        </w:rPr>
        <w:t xml:space="preserve"> </w:t>
      </w:r>
    </w:p>
    <w:p w14:paraId="421C4B58" w14:textId="6338324B" w:rsidR="00D91D07" w:rsidRDefault="00D3759C" w:rsidP="00D91D07">
      <w:pPr>
        <w:rPr>
          <w:rFonts w:eastAsia="Times New Roman" w:cstheme="minorHAnsi"/>
          <w:lang w:eastAsia="nl-NL"/>
        </w:rPr>
      </w:pPr>
      <w:r>
        <w:rPr>
          <w:rFonts w:eastAsia="Times New Roman" w:cstheme="minorHAnsi"/>
          <w:lang w:eastAsia="nl-NL"/>
        </w:rPr>
        <w:t>Tot slot: e</w:t>
      </w:r>
      <w:r w:rsidR="005B3D90">
        <w:rPr>
          <w:rFonts w:eastAsia="Times New Roman" w:cstheme="minorHAnsi"/>
          <w:lang w:eastAsia="nl-NL"/>
        </w:rPr>
        <w:t>r wordt vaak gevraagd</w:t>
      </w:r>
      <w:r w:rsidR="00B05EEE">
        <w:rPr>
          <w:rFonts w:eastAsia="Times New Roman" w:cstheme="minorHAnsi"/>
          <w:lang w:eastAsia="nl-NL"/>
        </w:rPr>
        <w:t xml:space="preserve"> om de </w:t>
      </w:r>
      <w:r w:rsidR="00336B14">
        <w:rPr>
          <w:rFonts w:eastAsia="Times New Roman" w:cstheme="minorHAnsi"/>
          <w:lang w:eastAsia="nl-NL"/>
        </w:rPr>
        <w:t>resultaten</w:t>
      </w:r>
      <w:r w:rsidR="00B05EEE">
        <w:rPr>
          <w:rFonts w:eastAsia="Times New Roman" w:cstheme="minorHAnsi"/>
          <w:lang w:eastAsia="nl-NL"/>
        </w:rPr>
        <w:t xml:space="preserve"> van </w:t>
      </w:r>
      <w:r w:rsidR="005B3D90">
        <w:rPr>
          <w:rFonts w:eastAsia="Times New Roman" w:cstheme="minorHAnsi"/>
          <w:lang w:eastAsia="nl-NL"/>
        </w:rPr>
        <w:t xml:space="preserve">WWL </w:t>
      </w:r>
      <w:r w:rsidR="00B05EEE">
        <w:rPr>
          <w:rFonts w:eastAsia="Times New Roman" w:cstheme="minorHAnsi"/>
          <w:lang w:eastAsia="nl-NL"/>
        </w:rPr>
        <w:t xml:space="preserve">te vergelijken met de uitkomsten van de oude HELP-tabellen. </w:t>
      </w:r>
      <w:r w:rsidR="005B3D90">
        <w:rPr>
          <w:rFonts w:eastAsia="Times New Roman" w:cstheme="minorHAnsi"/>
          <w:lang w:eastAsia="nl-NL"/>
        </w:rPr>
        <w:t xml:space="preserve">Dit blijft een vergelijking </w:t>
      </w:r>
      <w:r>
        <w:rPr>
          <w:rFonts w:eastAsia="Times New Roman" w:cstheme="minorHAnsi"/>
          <w:lang w:eastAsia="nl-NL"/>
        </w:rPr>
        <w:t xml:space="preserve">tussen </w:t>
      </w:r>
      <w:r w:rsidR="005B3D90">
        <w:rPr>
          <w:rFonts w:eastAsia="Times New Roman" w:cstheme="minorHAnsi"/>
          <w:lang w:eastAsia="nl-NL"/>
        </w:rPr>
        <w:t xml:space="preserve">appels met peren; de vergelijking voor het stroomgebied van De Raam laat vooral zien dat de HELP-tabellen een grote onderschatting van natschade te zien geven en bovendien een minder gedetailleerd regionaal beeld opleveren. </w:t>
      </w:r>
    </w:p>
    <w:p w14:paraId="6B161F70" w14:textId="77777777" w:rsidR="00486FAB" w:rsidRPr="00A95E3A" w:rsidRDefault="00486FAB" w:rsidP="00D91D07">
      <w:pPr>
        <w:rPr>
          <w:rFonts w:cstheme="minorHAnsi"/>
        </w:rPr>
      </w:pPr>
    </w:p>
    <w:p w14:paraId="68235BE7" w14:textId="1D8EEFC3" w:rsidR="00486FAB" w:rsidRPr="00486FAB" w:rsidRDefault="00486FAB" w:rsidP="00D91D07">
      <w:pPr>
        <w:rPr>
          <w:rFonts w:eastAsia="Times New Roman" w:cstheme="minorHAnsi"/>
          <w:b/>
          <w:bCs/>
          <w:lang w:eastAsia="nl-NL"/>
        </w:rPr>
      </w:pPr>
      <w:r w:rsidRPr="00486FAB">
        <w:rPr>
          <w:rFonts w:eastAsia="Times New Roman" w:cstheme="minorHAnsi"/>
          <w:b/>
          <w:bCs/>
          <w:lang w:eastAsia="nl-NL"/>
        </w:rPr>
        <w:t>Inventarisatie verbeterwensen</w:t>
      </w:r>
    </w:p>
    <w:p w14:paraId="6C6FC040" w14:textId="49DCE335" w:rsidR="00033C7E" w:rsidRDefault="00A95E3A" w:rsidP="00D91D07">
      <w:pPr>
        <w:rPr>
          <w:rFonts w:eastAsia="Times New Roman" w:cstheme="minorHAnsi"/>
          <w:lang w:eastAsia="nl-NL"/>
        </w:rPr>
      </w:pPr>
      <w:r>
        <w:rPr>
          <w:rFonts w:eastAsia="Times New Roman" w:cstheme="minorHAnsi"/>
          <w:lang w:eastAsia="nl-NL"/>
        </w:rPr>
        <w:t xml:space="preserve">Rob Ruijtenberg (STOWA) en </w:t>
      </w:r>
      <w:r w:rsidR="00336B14">
        <w:rPr>
          <w:rFonts w:eastAsia="Times New Roman" w:cstheme="minorHAnsi"/>
          <w:lang w:eastAsia="nl-NL"/>
        </w:rPr>
        <w:t>Mirjam</w:t>
      </w:r>
      <w:r>
        <w:rPr>
          <w:rFonts w:eastAsia="Times New Roman" w:cstheme="minorHAnsi"/>
          <w:lang w:eastAsia="nl-NL"/>
        </w:rPr>
        <w:t xml:space="preserve"> </w:t>
      </w:r>
      <w:r w:rsidR="005B3D90">
        <w:rPr>
          <w:rFonts w:eastAsia="Times New Roman" w:cstheme="minorHAnsi"/>
          <w:lang w:eastAsia="nl-NL"/>
        </w:rPr>
        <w:t>H</w:t>
      </w:r>
      <w:r>
        <w:rPr>
          <w:rFonts w:eastAsia="Times New Roman" w:cstheme="minorHAnsi"/>
          <w:lang w:eastAsia="nl-NL"/>
        </w:rPr>
        <w:t>ack WE</w:t>
      </w:r>
      <w:r w:rsidR="005B3D90">
        <w:rPr>
          <w:rFonts w:eastAsia="Times New Roman" w:cstheme="minorHAnsi"/>
          <w:lang w:eastAsia="nl-NL"/>
        </w:rPr>
        <w:t>N</w:t>
      </w:r>
      <w:r>
        <w:rPr>
          <w:rFonts w:eastAsia="Times New Roman" w:cstheme="minorHAnsi"/>
          <w:lang w:eastAsia="nl-NL"/>
        </w:rPr>
        <w:t xml:space="preserve">R) inventariseerden daarna via mentimetervragen de wensen </w:t>
      </w:r>
      <w:r w:rsidR="00486FAB">
        <w:rPr>
          <w:rFonts w:eastAsia="Times New Roman" w:cstheme="minorHAnsi"/>
          <w:lang w:eastAsia="nl-NL"/>
        </w:rPr>
        <w:t xml:space="preserve">voor </w:t>
      </w:r>
      <w:r>
        <w:rPr>
          <w:rFonts w:eastAsia="Times New Roman" w:cstheme="minorHAnsi"/>
          <w:lang w:eastAsia="nl-NL"/>
        </w:rPr>
        <w:t xml:space="preserve">verdere verbeteringen en de prioritering daarin (wat moet </w:t>
      </w:r>
      <w:r w:rsidR="005B3D90">
        <w:rPr>
          <w:rFonts w:eastAsia="Times New Roman" w:cstheme="minorHAnsi"/>
          <w:lang w:eastAsia="nl-NL"/>
        </w:rPr>
        <w:t xml:space="preserve">als </w:t>
      </w:r>
      <w:r>
        <w:rPr>
          <w:rFonts w:eastAsia="Times New Roman" w:cstheme="minorHAnsi"/>
          <w:lang w:eastAsia="nl-NL"/>
        </w:rPr>
        <w:t>eerste, wat kan later</w:t>
      </w:r>
      <w:r w:rsidR="00486FAB">
        <w:rPr>
          <w:rFonts w:eastAsia="Times New Roman" w:cstheme="minorHAnsi"/>
          <w:lang w:eastAsia="nl-NL"/>
        </w:rPr>
        <w:t>?</w:t>
      </w:r>
      <w:r>
        <w:rPr>
          <w:rFonts w:eastAsia="Times New Roman" w:cstheme="minorHAnsi"/>
          <w:lang w:eastAsia="nl-NL"/>
        </w:rPr>
        <w:t xml:space="preserve">). </w:t>
      </w:r>
      <w:r w:rsidR="00033C7E">
        <w:rPr>
          <w:rFonts w:eastAsia="Times New Roman" w:cstheme="minorHAnsi"/>
          <w:lang w:eastAsia="nl-NL"/>
        </w:rPr>
        <w:t xml:space="preserve">Veruit de meeste aanwezigen vonden verdere validatie van het instrument het belangrijkst (18), gevolgd door het oplossen van de te </w:t>
      </w:r>
      <w:r w:rsidR="005B3D90">
        <w:rPr>
          <w:rFonts w:eastAsia="Times New Roman" w:cstheme="minorHAnsi"/>
          <w:lang w:eastAsia="nl-NL"/>
        </w:rPr>
        <w:t>ho</w:t>
      </w:r>
      <w:r w:rsidR="00033C7E">
        <w:rPr>
          <w:rFonts w:eastAsia="Times New Roman" w:cstheme="minorHAnsi"/>
          <w:lang w:eastAsia="nl-NL"/>
        </w:rPr>
        <w:t xml:space="preserve">ge </w:t>
      </w:r>
      <w:r w:rsidR="005B3D90">
        <w:rPr>
          <w:rFonts w:eastAsia="Times New Roman" w:cstheme="minorHAnsi"/>
          <w:lang w:eastAsia="nl-NL"/>
        </w:rPr>
        <w:t xml:space="preserve">droogteschade </w:t>
      </w:r>
      <w:r w:rsidR="00033C7E">
        <w:rPr>
          <w:rFonts w:eastAsia="Times New Roman" w:cstheme="minorHAnsi"/>
          <w:lang w:eastAsia="nl-NL"/>
        </w:rPr>
        <w:t>voor kleigronden (</w:t>
      </w:r>
      <w:r w:rsidR="005B3D90">
        <w:rPr>
          <w:rFonts w:eastAsia="Times New Roman" w:cstheme="minorHAnsi"/>
          <w:lang w:eastAsia="nl-NL"/>
        </w:rPr>
        <w:t>8</w:t>
      </w:r>
      <w:r w:rsidR="00033C7E">
        <w:rPr>
          <w:rFonts w:eastAsia="Times New Roman" w:cstheme="minorHAnsi"/>
          <w:lang w:eastAsia="nl-NL"/>
        </w:rPr>
        <w:t>)</w:t>
      </w:r>
      <w:r w:rsidR="00486FAB">
        <w:rPr>
          <w:rFonts w:eastAsia="Times New Roman" w:cstheme="minorHAnsi"/>
          <w:lang w:eastAsia="nl-NL"/>
        </w:rPr>
        <w:t xml:space="preserve">, </w:t>
      </w:r>
      <w:r w:rsidR="00033C7E">
        <w:rPr>
          <w:rFonts w:eastAsia="Times New Roman" w:cstheme="minorHAnsi"/>
          <w:lang w:eastAsia="nl-NL"/>
        </w:rPr>
        <w:t xml:space="preserve">onderzoek naar relatie tussen </w:t>
      </w:r>
      <w:r w:rsidR="00033C7E">
        <w:rPr>
          <w:rFonts w:eastAsia="Times New Roman" w:cstheme="minorHAnsi"/>
          <w:lang w:eastAsia="nl-NL"/>
        </w:rPr>
        <w:lastRenderedPageBreak/>
        <w:t xml:space="preserve">wortelzone/wortelverdeling en optredende schades aan gewassen (6) en omgaan met onzekerheden modeluitkomsten (5). </w:t>
      </w:r>
      <w:r w:rsidR="005B3D90">
        <w:rPr>
          <w:rFonts w:eastAsia="Times New Roman" w:cstheme="minorHAnsi"/>
          <w:lang w:eastAsia="nl-NL"/>
        </w:rPr>
        <w:t xml:space="preserve">In de categorie ‘overig’ werd </w:t>
      </w:r>
      <w:r w:rsidR="00D3759C">
        <w:rPr>
          <w:rFonts w:eastAsia="Times New Roman" w:cstheme="minorHAnsi"/>
          <w:lang w:eastAsia="nl-NL"/>
        </w:rPr>
        <w:t xml:space="preserve">vooral </w:t>
      </w:r>
      <w:r w:rsidR="005B3D90">
        <w:rPr>
          <w:rFonts w:eastAsia="Times New Roman" w:cstheme="minorHAnsi"/>
          <w:lang w:eastAsia="nl-NL"/>
        </w:rPr>
        <w:t>aandacht gevraagd voor berekeningen voor meerdere meteostations (5).</w:t>
      </w:r>
    </w:p>
    <w:p w14:paraId="2EB40C10" w14:textId="77777777" w:rsidR="00033C7E" w:rsidRDefault="00033C7E" w:rsidP="00D91D07">
      <w:pPr>
        <w:rPr>
          <w:rFonts w:eastAsia="Times New Roman" w:cstheme="minorHAnsi"/>
          <w:lang w:eastAsia="nl-NL"/>
        </w:rPr>
      </w:pPr>
    </w:p>
    <w:p w14:paraId="4BF52A8C" w14:textId="11006790" w:rsidR="00486FAB" w:rsidRPr="00486FAB" w:rsidRDefault="00486FAB" w:rsidP="00D91D07">
      <w:pPr>
        <w:rPr>
          <w:rFonts w:eastAsia="Times New Roman" w:cstheme="minorHAnsi"/>
          <w:b/>
          <w:bCs/>
          <w:lang w:eastAsia="nl-NL"/>
        </w:rPr>
      </w:pPr>
      <w:r w:rsidRPr="00486FAB">
        <w:rPr>
          <w:rFonts w:eastAsia="Times New Roman" w:cstheme="minorHAnsi"/>
          <w:b/>
          <w:bCs/>
          <w:lang w:eastAsia="nl-NL"/>
        </w:rPr>
        <w:t>WWL &amp; NHI</w:t>
      </w:r>
    </w:p>
    <w:p w14:paraId="3D1518CC" w14:textId="042AA8C3" w:rsidR="00B35375" w:rsidRDefault="00033C7E" w:rsidP="00D91D07">
      <w:pPr>
        <w:rPr>
          <w:rFonts w:eastAsia="Times New Roman" w:cstheme="minorHAnsi"/>
          <w:lang w:eastAsia="nl-NL"/>
        </w:rPr>
      </w:pPr>
      <w:r>
        <w:rPr>
          <w:rFonts w:eastAsia="Times New Roman" w:cstheme="minorHAnsi"/>
          <w:lang w:eastAsia="nl-NL"/>
        </w:rPr>
        <w:t>Het laatste woord van deze middag was voor Jacques Peerboom, programma</w:t>
      </w:r>
      <w:r w:rsidR="005B3D90">
        <w:rPr>
          <w:rFonts w:eastAsia="Times New Roman" w:cstheme="minorHAnsi"/>
          <w:lang w:eastAsia="nl-NL"/>
        </w:rPr>
        <w:t>ma</w:t>
      </w:r>
      <w:r>
        <w:rPr>
          <w:rFonts w:eastAsia="Times New Roman" w:cstheme="minorHAnsi"/>
          <w:lang w:eastAsia="nl-NL"/>
        </w:rPr>
        <w:t>nager van het Nederlands Hydrologisch Instrumentarium NHI. Het is de bedoeling dat</w:t>
      </w:r>
      <w:r w:rsidR="00B35375">
        <w:rPr>
          <w:rFonts w:eastAsia="Times New Roman" w:cstheme="minorHAnsi"/>
          <w:lang w:eastAsia="nl-NL"/>
        </w:rPr>
        <w:t xml:space="preserve"> </w:t>
      </w:r>
      <w:r w:rsidR="00C93D08">
        <w:rPr>
          <w:rFonts w:eastAsia="Times New Roman" w:cstheme="minorHAnsi"/>
          <w:lang w:eastAsia="nl-NL"/>
        </w:rPr>
        <w:t>het b</w:t>
      </w:r>
      <w:r w:rsidR="005B3D90">
        <w:rPr>
          <w:rFonts w:eastAsia="Times New Roman" w:cstheme="minorHAnsi"/>
          <w:lang w:eastAsia="nl-NL"/>
        </w:rPr>
        <w:t xml:space="preserve">eheer en </w:t>
      </w:r>
      <w:r w:rsidR="00C93D08">
        <w:rPr>
          <w:rFonts w:eastAsia="Times New Roman" w:cstheme="minorHAnsi"/>
          <w:lang w:eastAsia="nl-NL"/>
        </w:rPr>
        <w:t>o</w:t>
      </w:r>
      <w:r w:rsidR="005B3D90">
        <w:rPr>
          <w:rFonts w:eastAsia="Times New Roman" w:cstheme="minorHAnsi"/>
          <w:lang w:eastAsia="nl-NL"/>
        </w:rPr>
        <w:t>nderhoud</w:t>
      </w:r>
      <w:r>
        <w:rPr>
          <w:rFonts w:eastAsia="Times New Roman" w:cstheme="minorHAnsi"/>
          <w:lang w:eastAsia="nl-NL"/>
        </w:rPr>
        <w:t xml:space="preserve"> van de Waterwijzer Landbouw onderdeel gaa</w:t>
      </w:r>
      <w:r w:rsidR="00C93D08">
        <w:rPr>
          <w:rFonts w:eastAsia="Times New Roman" w:cstheme="minorHAnsi"/>
          <w:lang w:eastAsia="nl-NL"/>
        </w:rPr>
        <w:t>n</w:t>
      </w:r>
      <w:r>
        <w:rPr>
          <w:rFonts w:eastAsia="Times New Roman" w:cstheme="minorHAnsi"/>
          <w:lang w:eastAsia="nl-NL"/>
        </w:rPr>
        <w:t xml:space="preserve"> uitmaken van </w:t>
      </w:r>
      <w:r w:rsidR="00486FAB">
        <w:rPr>
          <w:rFonts w:eastAsia="Times New Roman" w:cstheme="minorHAnsi"/>
          <w:lang w:eastAsia="nl-NL"/>
        </w:rPr>
        <w:t>dit instrumentarium</w:t>
      </w:r>
      <w:r>
        <w:rPr>
          <w:rFonts w:eastAsia="Times New Roman" w:cstheme="minorHAnsi"/>
          <w:lang w:eastAsia="nl-NL"/>
        </w:rPr>
        <w:t xml:space="preserve">. In het NHI wordt gewerkt aan </w:t>
      </w:r>
      <w:r w:rsidR="00486FAB">
        <w:rPr>
          <w:rFonts w:eastAsia="Times New Roman" w:cstheme="minorHAnsi"/>
          <w:lang w:eastAsia="nl-NL"/>
        </w:rPr>
        <w:t xml:space="preserve">een </w:t>
      </w:r>
      <w:r>
        <w:rPr>
          <w:rFonts w:eastAsia="Times New Roman" w:cstheme="minorHAnsi"/>
          <w:lang w:eastAsia="nl-NL"/>
        </w:rPr>
        <w:t>hydrologisch instrumentarium als effectieve, doelmatige en consistente basis voor het uitvoeren van</w:t>
      </w:r>
      <w:r w:rsidR="00486FAB">
        <w:rPr>
          <w:rFonts w:eastAsia="Times New Roman" w:cstheme="minorHAnsi"/>
          <w:lang w:eastAsia="nl-NL"/>
        </w:rPr>
        <w:t xml:space="preserve"> </w:t>
      </w:r>
      <w:r>
        <w:rPr>
          <w:rFonts w:eastAsia="Times New Roman" w:cstheme="minorHAnsi"/>
          <w:lang w:eastAsia="nl-NL"/>
        </w:rPr>
        <w:t>onderling vergelijkbare</w:t>
      </w:r>
      <w:r w:rsidR="00486FAB">
        <w:rPr>
          <w:rFonts w:eastAsia="Times New Roman" w:cstheme="minorHAnsi"/>
          <w:lang w:eastAsia="nl-NL"/>
        </w:rPr>
        <w:t xml:space="preserve"> </w:t>
      </w:r>
      <w:r>
        <w:rPr>
          <w:rFonts w:eastAsia="Times New Roman" w:cstheme="minorHAnsi"/>
          <w:lang w:eastAsia="nl-NL"/>
        </w:rPr>
        <w:t xml:space="preserve">landelijke, regionale en lokale hydrologische modelberekeningen. </w:t>
      </w:r>
      <w:r w:rsidR="00B35375">
        <w:rPr>
          <w:rFonts w:eastAsia="Times New Roman" w:cstheme="minorHAnsi"/>
          <w:lang w:eastAsia="nl-NL"/>
        </w:rPr>
        <w:t xml:space="preserve">In 2020 spraken alle deelnemende partijen af om binnen twee jaar de eerste versie van het NHI operationeel te maken </w:t>
      </w:r>
      <w:hyperlink r:id="rId9" w:history="1">
        <w:r w:rsidR="00B35375" w:rsidRPr="00B35375">
          <w:rPr>
            <w:rStyle w:val="Hyperlink"/>
            <w:rFonts w:eastAsia="Times New Roman" w:cstheme="minorHAnsi"/>
            <w:lang w:eastAsia="nl-NL"/>
          </w:rPr>
          <w:t>(&gt; lees meer</w:t>
        </w:r>
      </w:hyperlink>
      <w:r w:rsidR="00B35375">
        <w:rPr>
          <w:rFonts w:eastAsia="Times New Roman" w:cstheme="minorHAnsi"/>
          <w:lang w:eastAsia="nl-NL"/>
        </w:rPr>
        <w:t xml:space="preserve">). </w:t>
      </w:r>
      <w:r w:rsidR="00486FAB">
        <w:rPr>
          <w:rFonts w:eastAsia="Times New Roman" w:cstheme="minorHAnsi"/>
          <w:lang w:eastAsia="nl-NL"/>
        </w:rPr>
        <w:t>Binnen h</w:t>
      </w:r>
      <w:r w:rsidR="00B35375">
        <w:rPr>
          <w:rFonts w:eastAsia="Times New Roman" w:cstheme="minorHAnsi"/>
          <w:lang w:eastAsia="nl-NL"/>
        </w:rPr>
        <w:t>et NHI zijn al de nodige investeringen gedaan</w:t>
      </w:r>
      <w:r w:rsidR="00600AAD">
        <w:rPr>
          <w:rFonts w:eastAsia="Times New Roman" w:cstheme="minorHAnsi"/>
          <w:lang w:eastAsia="nl-NL"/>
        </w:rPr>
        <w:t xml:space="preserve"> </w:t>
      </w:r>
      <w:r w:rsidR="00B35375">
        <w:rPr>
          <w:rFonts w:eastAsia="Times New Roman" w:cstheme="minorHAnsi"/>
          <w:lang w:eastAsia="nl-NL"/>
        </w:rPr>
        <w:t xml:space="preserve">waar de Waterwijzer Landbouw direct van heeft geprofiteerd, zoals </w:t>
      </w:r>
      <w:r w:rsidR="00486FAB">
        <w:rPr>
          <w:rFonts w:eastAsia="Times New Roman" w:cstheme="minorHAnsi"/>
          <w:lang w:eastAsia="nl-NL"/>
        </w:rPr>
        <w:t xml:space="preserve">de eerder gememoreerde </w:t>
      </w:r>
      <w:r w:rsidR="00B35375">
        <w:rPr>
          <w:rFonts w:eastAsia="Times New Roman" w:cstheme="minorHAnsi"/>
          <w:lang w:eastAsia="nl-NL"/>
        </w:rPr>
        <w:t xml:space="preserve">BOFEK-schematisatie op </w:t>
      </w:r>
      <w:r w:rsidR="00336B14">
        <w:rPr>
          <w:rFonts w:eastAsia="Times New Roman" w:cstheme="minorHAnsi"/>
          <w:lang w:eastAsia="nl-NL"/>
        </w:rPr>
        <w:t>basis</w:t>
      </w:r>
      <w:r w:rsidR="00B35375">
        <w:rPr>
          <w:rFonts w:eastAsia="Times New Roman" w:cstheme="minorHAnsi"/>
          <w:lang w:eastAsia="nl-NL"/>
        </w:rPr>
        <w:t xml:space="preserve"> van nieuwe Staringreeks. Het </w:t>
      </w:r>
      <w:r w:rsidR="00600AAD">
        <w:rPr>
          <w:rFonts w:eastAsia="Times New Roman" w:cstheme="minorHAnsi"/>
          <w:lang w:eastAsia="nl-NL"/>
        </w:rPr>
        <w:t xml:space="preserve">gebruik </w:t>
      </w:r>
      <w:r w:rsidR="00B35375">
        <w:rPr>
          <w:rFonts w:eastAsia="Times New Roman" w:cstheme="minorHAnsi"/>
          <w:lang w:eastAsia="nl-NL"/>
        </w:rPr>
        <w:t xml:space="preserve">van deze nieuwe </w:t>
      </w:r>
      <w:r w:rsidR="005B3D90">
        <w:rPr>
          <w:rFonts w:eastAsia="Times New Roman" w:cstheme="minorHAnsi"/>
          <w:lang w:eastAsia="nl-NL"/>
        </w:rPr>
        <w:t xml:space="preserve">informatie </w:t>
      </w:r>
      <w:r w:rsidR="00B35375">
        <w:rPr>
          <w:rFonts w:eastAsia="Times New Roman" w:cstheme="minorHAnsi"/>
          <w:lang w:eastAsia="nl-NL"/>
        </w:rPr>
        <w:t>heeft de problemen met o</w:t>
      </w:r>
      <w:r w:rsidR="005B3D90">
        <w:rPr>
          <w:rFonts w:eastAsia="Times New Roman" w:cstheme="minorHAnsi"/>
          <w:lang w:eastAsia="nl-NL"/>
        </w:rPr>
        <w:t>nder</w:t>
      </w:r>
      <w:r w:rsidR="00B35375">
        <w:rPr>
          <w:rFonts w:eastAsia="Times New Roman" w:cstheme="minorHAnsi"/>
          <w:lang w:eastAsia="nl-NL"/>
        </w:rPr>
        <w:t>schatting</w:t>
      </w:r>
      <w:r w:rsidR="005B3D90">
        <w:rPr>
          <w:rFonts w:eastAsia="Times New Roman" w:cstheme="minorHAnsi"/>
          <w:lang w:eastAsia="nl-NL"/>
        </w:rPr>
        <w:t xml:space="preserve"> van de</w:t>
      </w:r>
      <w:r w:rsidR="00B35375">
        <w:rPr>
          <w:rFonts w:eastAsia="Times New Roman" w:cstheme="minorHAnsi"/>
          <w:lang w:eastAsia="nl-NL"/>
        </w:rPr>
        <w:t xml:space="preserve"> droogteschade op de hoger</w:t>
      </w:r>
      <w:r w:rsidR="00486FAB">
        <w:rPr>
          <w:rFonts w:eastAsia="Times New Roman" w:cstheme="minorHAnsi"/>
          <w:lang w:eastAsia="nl-NL"/>
        </w:rPr>
        <w:t xml:space="preserve">e </w:t>
      </w:r>
      <w:r w:rsidR="00600AAD">
        <w:rPr>
          <w:rFonts w:eastAsia="Times New Roman" w:cstheme="minorHAnsi"/>
          <w:lang w:eastAsia="nl-NL"/>
        </w:rPr>
        <w:t>zandgronden</w:t>
      </w:r>
      <w:r w:rsidR="00B35375">
        <w:rPr>
          <w:rFonts w:eastAsia="Times New Roman" w:cstheme="minorHAnsi"/>
          <w:lang w:eastAsia="nl-NL"/>
        </w:rPr>
        <w:t xml:space="preserve"> grotendeels opgelost. Ook heeft men gewerkt aan het robuuster </w:t>
      </w:r>
      <w:r w:rsidR="00600AAD">
        <w:rPr>
          <w:rFonts w:eastAsia="Times New Roman" w:cstheme="minorHAnsi"/>
          <w:lang w:eastAsia="nl-NL"/>
        </w:rPr>
        <w:t>maken</w:t>
      </w:r>
      <w:r w:rsidR="00B35375">
        <w:rPr>
          <w:rFonts w:eastAsia="Times New Roman" w:cstheme="minorHAnsi"/>
          <w:lang w:eastAsia="nl-NL"/>
        </w:rPr>
        <w:t xml:space="preserve"> van het model MetaS</w:t>
      </w:r>
      <w:r w:rsidR="005B3D90">
        <w:rPr>
          <w:rFonts w:eastAsia="Times New Roman" w:cstheme="minorHAnsi"/>
          <w:lang w:eastAsia="nl-NL"/>
        </w:rPr>
        <w:t>WAP</w:t>
      </w:r>
      <w:r w:rsidR="00B35375">
        <w:rPr>
          <w:rFonts w:eastAsia="Times New Roman" w:cstheme="minorHAnsi"/>
          <w:lang w:eastAsia="nl-NL"/>
        </w:rPr>
        <w:t>, dat ook onder</w:t>
      </w:r>
      <w:r w:rsidR="00600AAD">
        <w:rPr>
          <w:rFonts w:eastAsia="Times New Roman" w:cstheme="minorHAnsi"/>
          <w:lang w:eastAsia="nl-NL"/>
        </w:rPr>
        <w:t xml:space="preserve"> </w:t>
      </w:r>
      <w:r w:rsidR="00B35375">
        <w:rPr>
          <w:rFonts w:eastAsia="Times New Roman" w:cstheme="minorHAnsi"/>
          <w:lang w:eastAsia="nl-NL"/>
        </w:rPr>
        <w:t>de motorkap zit van de WWL, en men heeft gewerkt aan betere input voor dit model</w:t>
      </w:r>
      <w:r w:rsidR="005B3D90">
        <w:rPr>
          <w:rFonts w:eastAsia="Times New Roman" w:cstheme="minorHAnsi"/>
          <w:lang w:eastAsia="nl-NL"/>
        </w:rPr>
        <w:t xml:space="preserve">. </w:t>
      </w:r>
    </w:p>
    <w:p w14:paraId="186C4FBC" w14:textId="0E3B982C" w:rsidR="00B35375" w:rsidRDefault="00B35375" w:rsidP="00D91D07">
      <w:pPr>
        <w:rPr>
          <w:rFonts w:eastAsia="Times New Roman" w:cstheme="minorHAnsi"/>
          <w:lang w:eastAsia="nl-NL"/>
        </w:rPr>
      </w:pPr>
    </w:p>
    <w:p w14:paraId="1F497E4B" w14:textId="3A053282" w:rsidR="00B35375" w:rsidRDefault="00B35375" w:rsidP="00D91D07">
      <w:pPr>
        <w:rPr>
          <w:rFonts w:eastAsia="Times New Roman" w:cstheme="minorHAnsi"/>
          <w:lang w:eastAsia="nl-NL"/>
        </w:rPr>
      </w:pPr>
      <w:r>
        <w:rPr>
          <w:rFonts w:eastAsia="Times New Roman" w:cstheme="minorHAnsi"/>
          <w:lang w:eastAsia="nl-NL"/>
        </w:rPr>
        <w:t>De reden</w:t>
      </w:r>
      <w:r w:rsidR="00486FAB">
        <w:rPr>
          <w:rFonts w:eastAsia="Times New Roman" w:cstheme="minorHAnsi"/>
          <w:lang w:eastAsia="nl-NL"/>
        </w:rPr>
        <w:t>en</w:t>
      </w:r>
      <w:r>
        <w:rPr>
          <w:rFonts w:eastAsia="Times New Roman" w:cstheme="minorHAnsi"/>
          <w:lang w:eastAsia="nl-NL"/>
        </w:rPr>
        <w:t xml:space="preserve"> om</w:t>
      </w:r>
      <w:r w:rsidR="00600AAD">
        <w:rPr>
          <w:rFonts w:eastAsia="Times New Roman" w:cstheme="minorHAnsi"/>
          <w:lang w:eastAsia="nl-NL"/>
        </w:rPr>
        <w:t xml:space="preserve"> </w:t>
      </w:r>
      <w:r>
        <w:rPr>
          <w:rFonts w:eastAsia="Times New Roman" w:cstheme="minorHAnsi"/>
          <w:lang w:eastAsia="nl-NL"/>
        </w:rPr>
        <w:t>de WWL onder te brengen bij NHI</w:t>
      </w:r>
      <w:r w:rsidR="00600AAD">
        <w:rPr>
          <w:rFonts w:eastAsia="Times New Roman" w:cstheme="minorHAnsi"/>
          <w:lang w:eastAsia="nl-NL"/>
        </w:rPr>
        <w:t xml:space="preserve">, hebben volgens </w:t>
      </w:r>
      <w:r w:rsidR="00336B14">
        <w:rPr>
          <w:rFonts w:eastAsia="Times New Roman" w:cstheme="minorHAnsi"/>
          <w:lang w:eastAsia="nl-NL"/>
        </w:rPr>
        <w:t>Peerboom</w:t>
      </w:r>
      <w:r w:rsidR="00600AAD">
        <w:rPr>
          <w:rFonts w:eastAsia="Times New Roman" w:cstheme="minorHAnsi"/>
          <w:lang w:eastAsia="nl-NL"/>
        </w:rPr>
        <w:t xml:space="preserve"> te </w:t>
      </w:r>
      <w:r w:rsidR="00336B14">
        <w:rPr>
          <w:rFonts w:eastAsia="Times New Roman" w:cstheme="minorHAnsi"/>
          <w:lang w:eastAsia="nl-NL"/>
        </w:rPr>
        <w:t>maken</w:t>
      </w:r>
      <w:r w:rsidR="00600AAD">
        <w:rPr>
          <w:rFonts w:eastAsia="Times New Roman" w:cstheme="minorHAnsi"/>
          <w:lang w:eastAsia="nl-NL"/>
        </w:rPr>
        <w:t xml:space="preserve"> met </w:t>
      </w:r>
      <w:r w:rsidR="00E70052">
        <w:rPr>
          <w:rFonts w:eastAsia="Times New Roman" w:cstheme="minorHAnsi"/>
          <w:lang w:eastAsia="nl-NL"/>
        </w:rPr>
        <w:t>de</w:t>
      </w:r>
      <w:r w:rsidR="00600AAD">
        <w:rPr>
          <w:rFonts w:eastAsia="Times New Roman" w:cstheme="minorHAnsi"/>
          <w:lang w:eastAsia="nl-NL"/>
        </w:rPr>
        <w:t xml:space="preserve"> behoefte aan een integrale ontwikkeling van de WWL in </w:t>
      </w:r>
      <w:r w:rsidR="00336B14">
        <w:rPr>
          <w:rFonts w:eastAsia="Times New Roman" w:cstheme="minorHAnsi"/>
          <w:lang w:eastAsia="nl-NL"/>
        </w:rPr>
        <w:t>samenhang</w:t>
      </w:r>
      <w:r w:rsidR="00600AAD">
        <w:rPr>
          <w:rFonts w:eastAsia="Times New Roman" w:cstheme="minorHAnsi"/>
          <w:lang w:eastAsia="nl-NL"/>
        </w:rPr>
        <w:t xml:space="preserve"> met andere instrumenten di</w:t>
      </w:r>
      <w:r w:rsidR="00486FAB">
        <w:rPr>
          <w:rFonts w:eastAsia="Times New Roman" w:cstheme="minorHAnsi"/>
          <w:lang w:eastAsia="nl-NL"/>
        </w:rPr>
        <w:t>e</w:t>
      </w:r>
      <w:r w:rsidR="00600AAD">
        <w:rPr>
          <w:rFonts w:eastAsia="Times New Roman" w:cstheme="minorHAnsi"/>
          <w:lang w:eastAsia="nl-NL"/>
        </w:rPr>
        <w:t xml:space="preserve"> worden ontwikkeld binnen het NHI. Deze integraliteit kan het best gewaarborgd worden als de verdere </w:t>
      </w:r>
      <w:r w:rsidR="00336B14">
        <w:rPr>
          <w:rFonts w:eastAsia="Times New Roman" w:cstheme="minorHAnsi"/>
          <w:lang w:eastAsia="nl-NL"/>
        </w:rPr>
        <w:t>ontwikkeling</w:t>
      </w:r>
      <w:r w:rsidR="00600AAD">
        <w:rPr>
          <w:rFonts w:eastAsia="Times New Roman" w:cstheme="minorHAnsi"/>
          <w:lang w:eastAsia="nl-NL"/>
        </w:rPr>
        <w:t xml:space="preserve"> van de WWL ook echt binnen NHI gaat plaatsvinden. </w:t>
      </w:r>
      <w:r w:rsidR="003E5222">
        <w:rPr>
          <w:rFonts w:eastAsia="Times New Roman" w:cstheme="minorHAnsi"/>
          <w:lang w:eastAsia="nl-NL"/>
        </w:rPr>
        <w:t xml:space="preserve">Verder doet NHI nu al grote investeringen die direct van belang zijn voor deze ontwikkeling (zie boven). </w:t>
      </w:r>
      <w:r w:rsidR="00336B14">
        <w:rPr>
          <w:rFonts w:eastAsia="Times New Roman" w:cstheme="minorHAnsi"/>
          <w:lang w:eastAsia="nl-NL"/>
        </w:rPr>
        <w:t>Peerboom noemde ook als argument dat er bij de verder</w:t>
      </w:r>
      <w:r w:rsidR="00486FAB">
        <w:rPr>
          <w:rFonts w:eastAsia="Times New Roman" w:cstheme="minorHAnsi"/>
          <w:lang w:eastAsia="nl-NL"/>
        </w:rPr>
        <w:t>e</w:t>
      </w:r>
      <w:r w:rsidR="00336B14">
        <w:rPr>
          <w:rFonts w:eastAsia="Times New Roman" w:cstheme="minorHAnsi"/>
          <w:lang w:eastAsia="nl-NL"/>
        </w:rPr>
        <w:t xml:space="preserve"> ontwikkeling behoefte gaat ontstaan aan een stabiele beheerorganisatie. </w:t>
      </w:r>
      <w:r w:rsidR="00600AAD">
        <w:rPr>
          <w:rFonts w:eastAsia="Times New Roman" w:cstheme="minorHAnsi"/>
          <w:lang w:eastAsia="nl-NL"/>
        </w:rPr>
        <w:t xml:space="preserve">NHI kan dat bieden. </w:t>
      </w:r>
      <w:r w:rsidR="003E5222">
        <w:rPr>
          <w:rFonts w:eastAsia="Times New Roman" w:cstheme="minorHAnsi"/>
          <w:lang w:eastAsia="nl-NL"/>
        </w:rPr>
        <w:t xml:space="preserve">Tot slot een heel praktisch punt: de partijen die betrokken zijn bij </w:t>
      </w:r>
      <w:r w:rsidR="00486FAB">
        <w:rPr>
          <w:rFonts w:eastAsia="Times New Roman" w:cstheme="minorHAnsi"/>
          <w:lang w:eastAsia="nl-NL"/>
        </w:rPr>
        <w:t xml:space="preserve">de </w:t>
      </w:r>
      <w:r w:rsidR="003E5222">
        <w:rPr>
          <w:rFonts w:eastAsia="Times New Roman" w:cstheme="minorHAnsi"/>
          <w:lang w:eastAsia="nl-NL"/>
        </w:rPr>
        <w:t xml:space="preserve">ontwikkeling </w:t>
      </w:r>
      <w:r w:rsidR="00486FAB">
        <w:rPr>
          <w:rFonts w:eastAsia="Times New Roman" w:cstheme="minorHAnsi"/>
          <w:lang w:eastAsia="nl-NL"/>
        </w:rPr>
        <w:t xml:space="preserve">van de </w:t>
      </w:r>
      <w:r w:rsidR="003E5222">
        <w:rPr>
          <w:rFonts w:eastAsia="Times New Roman" w:cstheme="minorHAnsi"/>
          <w:lang w:eastAsia="nl-NL"/>
        </w:rPr>
        <w:t xml:space="preserve">WWL en </w:t>
      </w:r>
      <w:r w:rsidR="00486FAB">
        <w:rPr>
          <w:rFonts w:eastAsia="Times New Roman" w:cstheme="minorHAnsi"/>
          <w:lang w:eastAsia="nl-NL"/>
        </w:rPr>
        <w:t xml:space="preserve">het </w:t>
      </w:r>
      <w:r w:rsidR="003E5222">
        <w:rPr>
          <w:rFonts w:eastAsia="Times New Roman" w:cstheme="minorHAnsi"/>
          <w:lang w:eastAsia="nl-NL"/>
        </w:rPr>
        <w:t>NHI zijn vrijwel hetzelfde. Dan ligt gezamenlijk optrekken en integreren erg voor de hand (doelmatigheid)</w:t>
      </w:r>
      <w:r w:rsidR="00E70052">
        <w:rPr>
          <w:rFonts w:eastAsia="Times New Roman" w:cstheme="minorHAnsi"/>
          <w:lang w:eastAsia="nl-NL"/>
        </w:rPr>
        <w:t>.</w:t>
      </w:r>
    </w:p>
    <w:p w14:paraId="51E02E93" w14:textId="2067973E" w:rsidR="003E5222" w:rsidRDefault="003E5222" w:rsidP="00D91D07">
      <w:pPr>
        <w:rPr>
          <w:rFonts w:eastAsia="Times New Roman" w:cstheme="minorHAnsi"/>
          <w:lang w:eastAsia="nl-NL"/>
        </w:rPr>
      </w:pPr>
    </w:p>
    <w:p w14:paraId="4121F732" w14:textId="3C965E59" w:rsidR="003E5222" w:rsidRDefault="00336B14" w:rsidP="00D91D07">
      <w:pPr>
        <w:rPr>
          <w:rFonts w:eastAsia="Times New Roman" w:cstheme="minorHAnsi"/>
          <w:lang w:eastAsia="nl-NL"/>
        </w:rPr>
      </w:pPr>
      <w:r>
        <w:rPr>
          <w:rFonts w:eastAsia="Times New Roman" w:cstheme="minorHAnsi"/>
          <w:lang w:eastAsia="nl-NL"/>
        </w:rPr>
        <w:t xml:space="preserve">De missie van het NHI voor wat betreft de WWL op de korte termijn is te zorgen voor de noodzakelijk verbeteringen van het instrument, specifiek voor de uitkomsten </w:t>
      </w:r>
      <w:r w:rsidR="00486FAB">
        <w:rPr>
          <w:rFonts w:eastAsia="Times New Roman" w:cstheme="minorHAnsi"/>
          <w:lang w:eastAsia="nl-NL"/>
        </w:rPr>
        <w:t>o</w:t>
      </w:r>
      <w:r>
        <w:rPr>
          <w:rFonts w:eastAsia="Times New Roman" w:cstheme="minorHAnsi"/>
          <w:lang w:eastAsia="nl-NL"/>
        </w:rPr>
        <w:t xml:space="preserve">p kleigronden. </w:t>
      </w:r>
      <w:r w:rsidR="00E70052">
        <w:rPr>
          <w:rFonts w:eastAsia="Times New Roman" w:cstheme="minorHAnsi"/>
          <w:lang w:eastAsia="nl-NL"/>
        </w:rPr>
        <w:t>Peerboom</w:t>
      </w:r>
      <w:r w:rsidR="003E5222">
        <w:rPr>
          <w:rFonts w:eastAsia="Times New Roman" w:cstheme="minorHAnsi"/>
          <w:lang w:eastAsia="nl-NL"/>
        </w:rPr>
        <w:t xml:space="preserve"> wil ook de discussie over de bruikbaarheid van WWL </w:t>
      </w:r>
      <w:r w:rsidR="00D3759C">
        <w:rPr>
          <w:rFonts w:eastAsia="Times New Roman" w:cstheme="minorHAnsi"/>
          <w:lang w:eastAsia="nl-NL"/>
        </w:rPr>
        <w:t>naar eigen zeggen ‘</w:t>
      </w:r>
      <w:r>
        <w:rPr>
          <w:rFonts w:eastAsia="Times New Roman" w:cstheme="minorHAnsi"/>
          <w:lang w:eastAsia="nl-NL"/>
        </w:rPr>
        <w:t>terugbrengen</w:t>
      </w:r>
      <w:r w:rsidR="003E5222">
        <w:rPr>
          <w:rFonts w:eastAsia="Times New Roman" w:cstheme="minorHAnsi"/>
          <w:lang w:eastAsia="nl-NL"/>
        </w:rPr>
        <w:t xml:space="preserve"> tot de juiste proporties</w:t>
      </w:r>
      <w:r w:rsidR="00E70052">
        <w:rPr>
          <w:rFonts w:eastAsia="Times New Roman" w:cstheme="minorHAnsi"/>
          <w:lang w:eastAsia="nl-NL"/>
        </w:rPr>
        <w:t>’</w:t>
      </w:r>
      <w:r w:rsidR="003E5222">
        <w:rPr>
          <w:rFonts w:eastAsia="Times New Roman" w:cstheme="minorHAnsi"/>
          <w:lang w:eastAsia="nl-NL"/>
        </w:rPr>
        <w:t>.</w:t>
      </w:r>
      <w:r w:rsidR="00C93D08">
        <w:rPr>
          <w:rFonts w:eastAsia="Times New Roman" w:cstheme="minorHAnsi"/>
          <w:lang w:eastAsia="nl-NL"/>
        </w:rPr>
        <w:t xml:space="preserve"> Vandaar de al eerder </w:t>
      </w:r>
      <w:r w:rsidR="006F52B1">
        <w:rPr>
          <w:rFonts w:eastAsia="Times New Roman" w:cstheme="minorHAnsi"/>
          <w:lang w:eastAsia="nl-NL"/>
        </w:rPr>
        <w:t>gememoreerde</w:t>
      </w:r>
      <w:r w:rsidR="00C93D08">
        <w:rPr>
          <w:rFonts w:eastAsia="Times New Roman" w:cstheme="minorHAnsi"/>
          <w:lang w:eastAsia="nl-NL"/>
        </w:rPr>
        <w:t xml:space="preserve"> vraag aan de </w:t>
      </w:r>
      <w:r w:rsidR="00C93D08">
        <w:t>Wetenschappelijke Adviescommissie van het NHI  om een uitspraak te doen over de Waterwijzer Landbouw inzake de validiteit, transparantie en consistentie van het ontwikkelde instrument</w:t>
      </w:r>
      <w:r w:rsidR="003E5222">
        <w:rPr>
          <w:rFonts w:eastAsia="Times New Roman" w:cstheme="minorHAnsi"/>
          <w:lang w:eastAsia="nl-NL"/>
        </w:rPr>
        <w:t>. Voor de langer</w:t>
      </w:r>
      <w:r w:rsidR="00486FAB">
        <w:rPr>
          <w:rFonts w:eastAsia="Times New Roman" w:cstheme="minorHAnsi"/>
          <w:lang w:eastAsia="nl-NL"/>
        </w:rPr>
        <w:t>e</w:t>
      </w:r>
      <w:r w:rsidR="003E5222">
        <w:rPr>
          <w:rFonts w:eastAsia="Times New Roman" w:cstheme="minorHAnsi"/>
          <w:lang w:eastAsia="nl-NL"/>
        </w:rPr>
        <w:t xml:space="preserve"> termijn wil Peerboom inzetten op het vergroten van het draagvlak voor gebruik van het instrument</w:t>
      </w:r>
      <w:r w:rsidR="00486FAB">
        <w:rPr>
          <w:rFonts w:eastAsia="Times New Roman" w:cstheme="minorHAnsi"/>
          <w:lang w:eastAsia="nl-NL"/>
        </w:rPr>
        <w:t>. D</w:t>
      </w:r>
      <w:r w:rsidR="003E5222">
        <w:rPr>
          <w:rFonts w:eastAsia="Times New Roman" w:cstheme="minorHAnsi"/>
          <w:lang w:eastAsia="nl-NL"/>
        </w:rPr>
        <w:t xml:space="preserve">aarvoor is verdere validatie van groot belang, want dat geeft de gebruikers vertrouwen in goede uitkomsten, aldus Peerboom. </w:t>
      </w:r>
    </w:p>
    <w:p w14:paraId="764D6F18" w14:textId="13ABE2DC" w:rsidR="00486FAB" w:rsidRDefault="00486FAB" w:rsidP="00D91D07">
      <w:pPr>
        <w:rPr>
          <w:rFonts w:eastAsia="Times New Roman" w:cstheme="minorHAnsi"/>
          <w:lang w:eastAsia="nl-NL"/>
        </w:rPr>
      </w:pPr>
    </w:p>
    <w:p w14:paraId="442ABE34" w14:textId="45CCDE06" w:rsidR="00486FAB" w:rsidRDefault="00486FAB" w:rsidP="00D91D07">
      <w:pPr>
        <w:rPr>
          <w:rFonts w:eastAsia="Times New Roman" w:cstheme="minorHAnsi"/>
          <w:lang w:eastAsia="nl-NL"/>
        </w:rPr>
      </w:pPr>
      <w:r>
        <w:rPr>
          <w:rFonts w:eastAsia="Times New Roman" w:cstheme="minorHAnsi"/>
          <w:lang w:eastAsia="nl-NL"/>
        </w:rPr>
        <w:t xml:space="preserve">Joost Buntsma bedankte alle aanwezigen na afloop voor hun deelname, vragen en bijdragen in de chat. </w:t>
      </w:r>
      <w:r w:rsidR="006E7427">
        <w:rPr>
          <w:rFonts w:eastAsia="Times New Roman" w:cstheme="minorHAnsi"/>
          <w:lang w:eastAsia="nl-NL"/>
        </w:rPr>
        <w:t xml:space="preserve">Over een jaar wordt in een nieuwe gebruikersdag opnieuw de tussenstand opgemaakt. </w:t>
      </w:r>
    </w:p>
    <w:p w14:paraId="69B2C8E0" w14:textId="77777777" w:rsidR="00B05EEE" w:rsidRPr="00D91D07" w:rsidRDefault="00B05EEE" w:rsidP="00D91D07">
      <w:pPr>
        <w:rPr>
          <w:rFonts w:eastAsia="Times New Roman" w:cstheme="minorHAnsi"/>
          <w:lang w:eastAsia="nl-NL"/>
        </w:rPr>
      </w:pPr>
    </w:p>
    <w:p w14:paraId="00D7241E" w14:textId="52834E80" w:rsidR="0091346E" w:rsidRPr="00D91D07" w:rsidRDefault="00D91D07" w:rsidP="00F6759A">
      <w:pPr>
        <w:rPr>
          <w:rFonts w:cstheme="minorHAnsi"/>
        </w:rPr>
      </w:pPr>
      <w:r w:rsidRPr="00D91D07">
        <w:rPr>
          <w:rFonts w:cstheme="minorHAnsi"/>
        </w:rPr>
        <w:t xml:space="preserve"> </w:t>
      </w:r>
    </w:p>
    <w:sectPr w:rsidR="0091346E" w:rsidRPr="00D91D07" w:rsidSect="009A4255">
      <w:footerReference w:type="even" r:id="rId10"/>
      <w:footerReference w:type="default" r:id="rId11"/>
      <w:pgSz w:w="11907" w:h="16840" w:code="9"/>
      <w:pgMar w:top="1418" w:right="1418" w:bottom="1418" w:left="1418" w:header="107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61B49" w14:textId="77777777" w:rsidR="00541B9F" w:rsidRDefault="00541B9F" w:rsidP="00396142">
      <w:r>
        <w:separator/>
      </w:r>
    </w:p>
  </w:endnote>
  <w:endnote w:type="continuationSeparator" w:id="0">
    <w:p w14:paraId="4AC679B8" w14:textId="77777777" w:rsidR="00541B9F" w:rsidRDefault="00541B9F" w:rsidP="00396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1244913748"/>
      <w:docPartObj>
        <w:docPartGallery w:val="Page Numbers (Bottom of Page)"/>
        <w:docPartUnique/>
      </w:docPartObj>
    </w:sdtPr>
    <w:sdtEndPr>
      <w:rPr>
        <w:rStyle w:val="Paginanummer"/>
      </w:rPr>
    </w:sdtEndPr>
    <w:sdtContent>
      <w:p w14:paraId="05A3298B" w14:textId="697701E1" w:rsidR="00396142" w:rsidRDefault="00396142" w:rsidP="009B42FE">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571617FD" w14:textId="77777777" w:rsidR="00396142" w:rsidRDefault="0039614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261263720"/>
      <w:docPartObj>
        <w:docPartGallery w:val="Page Numbers (Bottom of Page)"/>
        <w:docPartUnique/>
      </w:docPartObj>
    </w:sdtPr>
    <w:sdtEndPr>
      <w:rPr>
        <w:rStyle w:val="Paginanummer"/>
      </w:rPr>
    </w:sdtEndPr>
    <w:sdtContent>
      <w:p w14:paraId="280A47F5" w14:textId="5626C004" w:rsidR="00396142" w:rsidRDefault="00396142" w:rsidP="009B42FE">
        <w:pPr>
          <w:pStyle w:val="Voettekst"/>
          <w:framePr w:wrap="none" w:vAnchor="text" w:hAnchor="margin" w:xAlign="center"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67B50EEB" w14:textId="77777777" w:rsidR="00396142" w:rsidRDefault="0039614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9AF07B" w14:textId="77777777" w:rsidR="00541B9F" w:rsidRDefault="00541B9F" w:rsidP="00396142">
      <w:r>
        <w:separator/>
      </w:r>
    </w:p>
  </w:footnote>
  <w:footnote w:type="continuationSeparator" w:id="0">
    <w:p w14:paraId="6A4C5B1E" w14:textId="77777777" w:rsidR="00541B9F" w:rsidRDefault="00541B9F" w:rsidP="003961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129"/>
    <w:rsid w:val="00013129"/>
    <w:rsid w:val="00033BEC"/>
    <w:rsid w:val="00033C7E"/>
    <w:rsid w:val="000904F8"/>
    <w:rsid w:val="000F67F8"/>
    <w:rsid w:val="00110184"/>
    <w:rsid w:val="001A1CD5"/>
    <w:rsid w:val="001A442C"/>
    <w:rsid w:val="001B5F88"/>
    <w:rsid w:val="001D3645"/>
    <w:rsid w:val="00222E15"/>
    <w:rsid w:val="002C1CAF"/>
    <w:rsid w:val="002D795C"/>
    <w:rsid w:val="00336B14"/>
    <w:rsid w:val="00396142"/>
    <w:rsid w:val="003D3465"/>
    <w:rsid w:val="003E5222"/>
    <w:rsid w:val="004133E6"/>
    <w:rsid w:val="004670BE"/>
    <w:rsid w:val="00486FAB"/>
    <w:rsid w:val="004E6F45"/>
    <w:rsid w:val="00511F39"/>
    <w:rsid w:val="0052243E"/>
    <w:rsid w:val="00541B9F"/>
    <w:rsid w:val="00580143"/>
    <w:rsid w:val="005B3D90"/>
    <w:rsid w:val="00600AAD"/>
    <w:rsid w:val="00606B0F"/>
    <w:rsid w:val="00641998"/>
    <w:rsid w:val="00661FA2"/>
    <w:rsid w:val="00687D21"/>
    <w:rsid w:val="006E6B33"/>
    <w:rsid w:val="006E7427"/>
    <w:rsid w:val="006F3A5C"/>
    <w:rsid w:val="006F52B1"/>
    <w:rsid w:val="007262C5"/>
    <w:rsid w:val="0074121E"/>
    <w:rsid w:val="00783C90"/>
    <w:rsid w:val="007B53A8"/>
    <w:rsid w:val="008058EA"/>
    <w:rsid w:val="00861DB9"/>
    <w:rsid w:val="008B4703"/>
    <w:rsid w:val="008C0CBB"/>
    <w:rsid w:val="008D3F0F"/>
    <w:rsid w:val="008F3C95"/>
    <w:rsid w:val="0091346E"/>
    <w:rsid w:val="00935B66"/>
    <w:rsid w:val="009A4255"/>
    <w:rsid w:val="009C1D86"/>
    <w:rsid w:val="00A56F07"/>
    <w:rsid w:val="00A95E3A"/>
    <w:rsid w:val="00B028C1"/>
    <w:rsid w:val="00B05EEE"/>
    <w:rsid w:val="00B35375"/>
    <w:rsid w:val="00BA60F2"/>
    <w:rsid w:val="00C32B2F"/>
    <w:rsid w:val="00C47835"/>
    <w:rsid w:val="00C93D08"/>
    <w:rsid w:val="00CB230E"/>
    <w:rsid w:val="00D3368D"/>
    <w:rsid w:val="00D33BCD"/>
    <w:rsid w:val="00D3759C"/>
    <w:rsid w:val="00D51D5E"/>
    <w:rsid w:val="00D539F4"/>
    <w:rsid w:val="00D91D07"/>
    <w:rsid w:val="00E154A5"/>
    <w:rsid w:val="00E163F9"/>
    <w:rsid w:val="00E70052"/>
    <w:rsid w:val="00EA57F3"/>
    <w:rsid w:val="00ED52BF"/>
    <w:rsid w:val="00EF597B"/>
    <w:rsid w:val="00F6759A"/>
    <w:rsid w:val="00FA53F3"/>
    <w:rsid w:val="00FD3B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A0290"/>
  <w15:chartTrackingRefBased/>
  <w15:docId w15:val="{9E9A7022-56D7-C043-ACAD-C2D7CF397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31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396142"/>
    <w:pPr>
      <w:tabs>
        <w:tab w:val="center" w:pos="4536"/>
        <w:tab w:val="right" w:pos="9072"/>
      </w:tabs>
    </w:pPr>
  </w:style>
  <w:style w:type="character" w:customStyle="1" w:styleId="VoettekstChar">
    <w:name w:val="Voettekst Char"/>
    <w:basedOn w:val="Standaardalinea-lettertype"/>
    <w:link w:val="Voettekst"/>
    <w:uiPriority w:val="99"/>
    <w:rsid w:val="00396142"/>
  </w:style>
  <w:style w:type="character" w:styleId="Paginanummer">
    <w:name w:val="page number"/>
    <w:basedOn w:val="Standaardalinea-lettertype"/>
    <w:uiPriority w:val="99"/>
    <w:semiHidden/>
    <w:unhideWhenUsed/>
    <w:rsid w:val="00396142"/>
  </w:style>
  <w:style w:type="character" w:styleId="Hyperlink">
    <w:name w:val="Hyperlink"/>
    <w:basedOn w:val="Standaardalinea-lettertype"/>
    <w:uiPriority w:val="99"/>
    <w:unhideWhenUsed/>
    <w:rsid w:val="004E6F45"/>
    <w:rPr>
      <w:color w:val="0563C1" w:themeColor="hyperlink"/>
      <w:u w:val="single"/>
    </w:rPr>
  </w:style>
  <w:style w:type="character" w:styleId="Onopgelostemelding">
    <w:name w:val="Unresolved Mention"/>
    <w:basedOn w:val="Standaardalinea-lettertype"/>
    <w:uiPriority w:val="99"/>
    <w:semiHidden/>
    <w:unhideWhenUsed/>
    <w:rsid w:val="004E6F45"/>
    <w:rPr>
      <w:color w:val="605E5C"/>
      <w:shd w:val="clear" w:color="auto" w:fill="E1DFDD"/>
    </w:rPr>
  </w:style>
  <w:style w:type="character" w:styleId="Verwijzingopmerking">
    <w:name w:val="annotation reference"/>
    <w:basedOn w:val="Standaardalinea-lettertype"/>
    <w:uiPriority w:val="99"/>
    <w:semiHidden/>
    <w:unhideWhenUsed/>
    <w:rsid w:val="008D3F0F"/>
    <w:rPr>
      <w:sz w:val="16"/>
      <w:szCs w:val="16"/>
    </w:rPr>
  </w:style>
  <w:style w:type="paragraph" w:styleId="Tekstopmerking">
    <w:name w:val="annotation text"/>
    <w:basedOn w:val="Standaard"/>
    <w:link w:val="TekstopmerkingChar"/>
    <w:uiPriority w:val="99"/>
    <w:semiHidden/>
    <w:unhideWhenUsed/>
    <w:rsid w:val="008D3F0F"/>
    <w:rPr>
      <w:sz w:val="20"/>
      <w:szCs w:val="20"/>
    </w:rPr>
  </w:style>
  <w:style w:type="character" w:customStyle="1" w:styleId="TekstopmerkingChar">
    <w:name w:val="Tekst opmerking Char"/>
    <w:basedOn w:val="Standaardalinea-lettertype"/>
    <w:link w:val="Tekstopmerking"/>
    <w:uiPriority w:val="99"/>
    <w:semiHidden/>
    <w:rsid w:val="008D3F0F"/>
    <w:rPr>
      <w:sz w:val="20"/>
      <w:szCs w:val="20"/>
    </w:rPr>
  </w:style>
  <w:style w:type="paragraph" w:styleId="Onderwerpvanopmerking">
    <w:name w:val="annotation subject"/>
    <w:basedOn w:val="Tekstopmerking"/>
    <w:next w:val="Tekstopmerking"/>
    <w:link w:val="OnderwerpvanopmerkingChar"/>
    <w:uiPriority w:val="99"/>
    <w:semiHidden/>
    <w:unhideWhenUsed/>
    <w:rsid w:val="008D3F0F"/>
    <w:rPr>
      <w:b/>
      <w:bCs/>
    </w:rPr>
  </w:style>
  <w:style w:type="character" w:customStyle="1" w:styleId="OnderwerpvanopmerkingChar">
    <w:name w:val="Onderwerp van opmerking Char"/>
    <w:basedOn w:val="TekstopmerkingChar"/>
    <w:link w:val="Onderwerpvanopmerking"/>
    <w:uiPriority w:val="99"/>
    <w:semiHidden/>
    <w:rsid w:val="008D3F0F"/>
    <w:rPr>
      <w:b/>
      <w:bCs/>
      <w:sz w:val="20"/>
      <w:szCs w:val="20"/>
    </w:rPr>
  </w:style>
  <w:style w:type="paragraph" w:styleId="Ballontekst">
    <w:name w:val="Balloon Text"/>
    <w:basedOn w:val="Standaard"/>
    <w:link w:val="BallontekstChar"/>
    <w:uiPriority w:val="99"/>
    <w:semiHidden/>
    <w:unhideWhenUsed/>
    <w:rsid w:val="00580143"/>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801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17134">
      <w:bodyDiv w:val="1"/>
      <w:marLeft w:val="0"/>
      <w:marRight w:val="0"/>
      <w:marTop w:val="0"/>
      <w:marBottom w:val="0"/>
      <w:divBdr>
        <w:top w:val="none" w:sz="0" w:space="0" w:color="auto"/>
        <w:left w:val="none" w:sz="0" w:space="0" w:color="auto"/>
        <w:bottom w:val="none" w:sz="0" w:space="0" w:color="auto"/>
        <w:right w:val="none" w:sz="0" w:space="0" w:color="auto"/>
      </w:divBdr>
    </w:div>
    <w:div w:id="527450813">
      <w:bodyDiv w:val="1"/>
      <w:marLeft w:val="0"/>
      <w:marRight w:val="0"/>
      <w:marTop w:val="0"/>
      <w:marBottom w:val="0"/>
      <w:divBdr>
        <w:top w:val="none" w:sz="0" w:space="0" w:color="auto"/>
        <w:left w:val="none" w:sz="0" w:space="0" w:color="auto"/>
        <w:bottom w:val="none" w:sz="0" w:space="0" w:color="auto"/>
        <w:right w:val="none" w:sz="0" w:space="0" w:color="auto"/>
      </w:divBdr>
    </w:div>
    <w:div w:id="121866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owa.nl/publicaties/opties-binnen-waterwijzer-landbouw-2020-van-wwl-tabel-200-tot-maatwerk-met-ww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towa.nl/lumbricu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stowa.nl/nieuws/samenwerking-nhi"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2481</Words>
  <Characters>13651</Characters>
  <Application>Microsoft Office Word</Application>
  <DocSecurity>0</DocSecurity>
  <Lines>113</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Bert-Jan van Weeren</dc:creator>
  <cp:keywords/>
  <dc:description/>
  <cp:lastModifiedBy>Bert-Jan van Weeren</cp:lastModifiedBy>
  <cp:revision>5</cp:revision>
  <dcterms:created xsi:type="dcterms:W3CDTF">2021-04-27T14:21:00Z</dcterms:created>
  <dcterms:modified xsi:type="dcterms:W3CDTF">2021-04-28T08:39:00Z</dcterms:modified>
</cp:coreProperties>
</file>